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E2C0B" w14:textId="77777777" w:rsidR="00EF3883" w:rsidRDefault="00000000">
      <w:r>
        <w:rPr>
          <w:noProof/>
        </w:rPr>
        <w:drawing>
          <wp:anchor distT="0" distB="0" distL="114300" distR="114300" simplePos="0" relativeHeight="251658240" behindDoc="0" locked="0" layoutInCell="1" hidden="0" allowOverlap="1" wp14:anchorId="57F404A5" wp14:editId="47630768">
            <wp:simplePos x="0" y="0"/>
            <wp:positionH relativeFrom="column">
              <wp:posOffset>-1080116</wp:posOffset>
            </wp:positionH>
            <wp:positionV relativeFrom="paragraph">
              <wp:posOffset>-654665</wp:posOffset>
            </wp:positionV>
            <wp:extent cx="7581265" cy="1019175"/>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7F0CA4F8" w14:textId="77777777" w:rsidR="00EF3883" w:rsidRDefault="00EF3883">
      <w:pPr>
        <w:jc w:val="right"/>
        <w:rPr>
          <w:rFonts w:ascii="National" w:eastAsia="National" w:hAnsi="National" w:cs="National"/>
          <w:color w:val="303AB2"/>
          <w:sz w:val="36"/>
          <w:szCs w:val="36"/>
        </w:rPr>
      </w:pPr>
    </w:p>
    <w:p w14:paraId="2321AB6B" w14:textId="77777777" w:rsidR="00EF3883" w:rsidRDefault="00EF3883">
      <w:pPr>
        <w:rPr>
          <w:rFonts w:ascii="National" w:eastAsia="National" w:hAnsi="National" w:cs="National"/>
          <w:color w:val="303AB2"/>
          <w:sz w:val="18"/>
          <w:szCs w:val="18"/>
        </w:rPr>
      </w:pPr>
    </w:p>
    <w:p w14:paraId="5DB9DBF2" w14:textId="77777777" w:rsidR="00EF3883" w:rsidRDefault="00000000">
      <w:pPr>
        <w:pBdr>
          <w:top w:val="nil"/>
          <w:left w:val="nil"/>
          <w:bottom w:val="nil"/>
          <w:right w:val="nil"/>
          <w:between w:val="nil"/>
        </w:pBdr>
        <w:spacing w:line="276" w:lineRule="auto"/>
        <w:ind w:left="1080"/>
        <w:jc w:val="center"/>
        <w:rPr>
          <w:rFonts w:ascii="National" w:eastAsia="National" w:hAnsi="National" w:cs="National"/>
          <w:b/>
          <w:bCs/>
          <w:color w:val="1DBDC5"/>
          <w:sz w:val="34"/>
          <w:szCs w:val="34"/>
        </w:rPr>
      </w:pPr>
      <w:r>
        <w:rPr>
          <w:rFonts w:ascii="National" w:eastAsia="National" w:hAnsi="National" w:cs="National"/>
          <w:b/>
          <w:bCs/>
          <w:color w:val="1DBDC5"/>
          <w:sz w:val="34"/>
          <w:szCs w:val="34"/>
        </w:rPr>
        <w:t>RADIOGRAFÍA DEL MERCADO DE LA VIVIENDA</w:t>
      </w:r>
    </w:p>
    <w:p w14:paraId="3E37B5F8" w14:textId="77777777" w:rsidR="00EF3883" w:rsidRDefault="00000000">
      <w:pPr>
        <w:pBdr>
          <w:top w:val="nil"/>
          <w:left w:val="nil"/>
          <w:bottom w:val="nil"/>
          <w:right w:val="nil"/>
          <w:between w:val="nil"/>
        </w:pBdr>
        <w:spacing w:line="276" w:lineRule="auto"/>
        <w:jc w:val="center"/>
        <w:rPr>
          <w:rFonts w:ascii="National" w:eastAsia="National" w:hAnsi="National" w:cs="National"/>
          <w:b/>
          <w:bCs/>
          <w:color w:val="303AB2"/>
          <w:sz w:val="46"/>
          <w:szCs w:val="46"/>
        </w:rPr>
      </w:pPr>
      <w:r>
        <w:rPr>
          <w:rFonts w:ascii="National" w:eastAsia="National" w:hAnsi="National" w:cs="National"/>
          <w:b/>
          <w:bCs/>
          <w:color w:val="303AB2"/>
          <w:sz w:val="46"/>
          <w:szCs w:val="46"/>
        </w:rPr>
        <w:t>Canarias y Madrid lideran el malestar por la falta de vivienda pública mientras crece el miedo a una nueva burbuja inmobiliaria</w:t>
      </w:r>
    </w:p>
    <w:p w14:paraId="7A4CC9E0" w14:textId="77777777" w:rsidR="00EF3883" w:rsidRDefault="00EF388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6EE98DF5" w14:textId="77777777" w:rsidR="00EF388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y Canarias son las comunidades donde más ciudadanos (80%) consideran insuficiente la oferta de vivienda pública, frente al 77% de la media nacional</w:t>
      </w:r>
    </w:p>
    <w:p w14:paraId="10F7EC50" w14:textId="77777777" w:rsidR="00EF388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Baleares y Canarias lideran la percepción de que, con los precios actuales del alquiler, resulta más rentable pagar una hipoteca que una renta mensual</w:t>
      </w:r>
    </w:p>
    <w:p w14:paraId="123179BB" w14:textId="77777777" w:rsidR="00EF3883"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Crece el temor a una posible burbuja inmobiliaria, mientras la vivienda pierde atractivo como inversión, especialmente en Madrid</w:t>
      </w:r>
    </w:p>
    <w:p w14:paraId="0F17A50C" w14:textId="77777777" w:rsidR="00EF3883" w:rsidRDefault="00EF3883">
      <w:pPr>
        <w:pBdr>
          <w:top w:val="nil"/>
          <w:left w:val="nil"/>
          <w:bottom w:val="nil"/>
          <w:right w:val="nil"/>
          <w:between w:val="nil"/>
        </w:pBdr>
        <w:spacing w:line="276" w:lineRule="auto"/>
        <w:ind w:left="720"/>
        <w:jc w:val="both"/>
        <w:rPr>
          <w:rFonts w:ascii="Open Sans Light" w:eastAsia="Open Sans Light" w:hAnsi="Open Sans Light" w:cs="Open Sans Light"/>
          <w:b/>
          <w:bCs/>
          <w:color w:val="303AB2"/>
        </w:rPr>
      </w:pPr>
    </w:p>
    <w:p w14:paraId="192373FC" w14:textId="77777777" w:rsidR="00EF3883" w:rsidRDefault="00000000">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r>
        <w:rPr>
          <w:rFonts w:ascii="Open Sans Light" w:eastAsia="Open Sans Light" w:hAnsi="Open Sans Light" w:cs="Open Sans Light"/>
          <w:b/>
          <w:bCs/>
          <w:color w:val="303AB2"/>
        </w:rPr>
        <w:t>Madrid, 8 de julio de 2026</w:t>
      </w:r>
      <w:r>
        <w:rPr>
          <w:rFonts w:ascii="Open Sans Light" w:eastAsia="Open Sans Light" w:hAnsi="Open Sans Light" w:cs="Open Sans Light"/>
          <w:b/>
          <w:bCs/>
          <w:color w:val="303AB2"/>
        </w:rPr>
        <w:tab/>
      </w:r>
    </w:p>
    <w:p w14:paraId="00254DFD" w14:textId="77777777" w:rsidR="00EF3883" w:rsidRDefault="00EF3883">
      <w:pPr>
        <w:pBdr>
          <w:top w:val="nil"/>
          <w:left w:val="nil"/>
          <w:bottom w:val="nil"/>
          <w:right w:val="nil"/>
          <w:between w:val="nil"/>
        </w:pBdr>
        <w:tabs>
          <w:tab w:val="left" w:pos="6589"/>
        </w:tabs>
        <w:spacing w:line="276" w:lineRule="auto"/>
        <w:jc w:val="both"/>
        <w:rPr>
          <w:rFonts w:ascii="Open Sans Light" w:eastAsia="Open Sans Light" w:hAnsi="Open Sans Light" w:cs="Open Sans Light"/>
          <w:b/>
          <w:bCs/>
          <w:color w:val="303AB2"/>
        </w:rPr>
      </w:pPr>
    </w:p>
    <w:p w14:paraId="322D824E" w14:textId="77777777" w:rsidR="00EF388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falta de vivienda pública continúa siendo una de las principales preocupaciones relacionadas con el acceso a la vivienda en España. Actualmente, el 77% de los españoles comparte esta percepción, otorgándole una valoración media de 8 puntos sobre diez, </w:t>
      </w:r>
      <w:r>
        <w:rPr>
          <w:rFonts w:ascii="Open Sans" w:eastAsia="Open Sans" w:hAnsi="Open Sans" w:cs="Open Sans"/>
          <w:b/>
          <w:bCs/>
        </w:rPr>
        <w:t xml:space="preserve">según los datos extraídos a partir de una encuesta de </w:t>
      </w:r>
      <w:hyperlink r:id="rId9">
        <w:r w:rsidR="00EF3883">
          <w:rPr>
            <w:rFonts w:ascii="Open Sans" w:eastAsia="Open Sans" w:hAnsi="Open Sans" w:cs="Open Sans"/>
            <w:b/>
            <w:bCs/>
            <w:color w:val="0000FF"/>
            <w:u w:val="single"/>
          </w:rPr>
          <w:t>Fotocasa Research</w:t>
        </w:r>
      </w:hyperlink>
      <w:r>
        <w:rPr>
          <w:rFonts w:ascii="Open Sans" w:eastAsia="Open Sans" w:hAnsi="Open Sans" w:cs="Open Sans"/>
        </w:rPr>
        <w:t>. Sin embargo, esta preocupación alcanza niveles aún más elevados en determinadas comunidades autónomas. Madrid y Canarias encabezan la clasificación nacional, con un 80% de particulares que consideran insuficiente la oferta de vivienda pública. Además, la intensidad de esta percepción es superior a la media nacional, con puntuaciones de 8,2 y 8,3 sobre diez, respectivamente.</w:t>
      </w:r>
    </w:p>
    <w:p w14:paraId="16ECC84D"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14CCEB4C" w14:textId="77777777" w:rsidR="00EF3883" w:rsidRDefault="00000000">
      <w:pPr>
        <w:pBdr>
          <w:top w:val="nil"/>
          <w:left w:val="nil"/>
          <w:bottom w:val="nil"/>
          <w:right w:val="nil"/>
          <w:between w:val="nil"/>
        </w:pBdr>
        <w:spacing w:line="276" w:lineRule="auto"/>
        <w:jc w:val="both"/>
        <w:rPr>
          <w:rFonts w:ascii="Open Sans" w:eastAsia="Open Sans" w:hAnsi="Open Sans" w:cs="Open Sans"/>
          <w:b/>
          <w:bCs/>
        </w:rPr>
      </w:pPr>
      <w:r>
        <w:rPr>
          <w:rFonts w:ascii="Open Sans" w:eastAsia="Open Sans" w:hAnsi="Open Sans" w:cs="Open Sans"/>
        </w:rPr>
        <w:t xml:space="preserve">"Los resultados ponen de manifiesto que el mercado residencial está entrando en una nueva fase, marcada por una creciente tensión entre las expectativas de los ciudadanos y las dificultades reales de acceso a la vivienda. La escasez de vivienda pública se consolida como una preocupación estructural en prácticamente todo el territorio, lo que evidencia la necesidad de ampliar la oferta de vivienda asequible para reequilibrar el mercado. Al mismo tiempo, el fuerte </w:t>
      </w:r>
      <w:r>
        <w:rPr>
          <w:rFonts w:ascii="Open Sans" w:eastAsia="Open Sans" w:hAnsi="Open Sans" w:cs="Open Sans"/>
        </w:rPr>
        <w:lastRenderedPageBreak/>
        <w:t xml:space="preserve">encarecimiento del alquiler sigue reforzando la percepción de que comprar puede resultar más rentable que arrendar, aunque el incremento continuado de los precios de compraventa está moderando la confianza en la vivienda como valor refugio y alimentando la preocupación por una posible burbuja inmobiliaria. El mercado mantiene su atractivo patrimonial, pero los ciudadanos muestran una visión cada vez más prudente sobre su evolución futura", </w:t>
      </w:r>
      <w:r>
        <w:rPr>
          <w:rFonts w:ascii="Open Sans" w:eastAsia="Open Sans" w:hAnsi="Open Sans" w:cs="Open Sans"/>
          <w:b/>
          <w:bCs/>
        </w:rPr>
        <w:t xml:space="preserve">explica María Matos, directora de Estudios y portavoz de </w:t>
      </w:r>
      <w:hyperlink r:id="rId10">
        <w:r w:rsidR="00EF3883">
          <w:rPr>
            <w:rFonts w:ascii="Open Sans" w:eastAsia="Open Sans" w:hAnsi="Open Sans" w:cs="Open Sans"/>
            <w:b/>
            <w:bCs/>
            <w:color w:val="0000FF"/>
            <w:u w:val="single"/>
          </w:rPr>
          <w:t>Fotocasa</w:t>
        </w:r>
      </w:hyperlink>
      <w:r>
        <w:rPr>
          <w:rFonts w:ascii="Open Sans" w:eastAsia="Open Sans" w:hAnsi="Open Sans" w:cs="Open Sans"/>
          <w:b/>
          <w:bCs/>
        </w:rPr>
        <w:t>.</w:t>
      </w:r>
    </w:p>
    <w:p w14:paraId="146B745D" w14:textId="77777777" w:rsidR="00EF3883" w:rsidRDefault="00EF3883">
      <w:pPr>
        <w:pBdr>
          <w:top w:val="nil"/>
          <w:left w:val="nil"/>
          <w:bottom w:val="nil"/>
          <w:right w:val="nil"/>
          <w:between w:val="nil"/>
        </w:pBdr>
        <w:spacing w:line="276" w:lineRule="auto"/>
        <w:jc w:val="both"/>
        <w:rPr>
          <w:rFonts w:ascii="Open Sans" w:eastAsia="Open Sans" w:hAnsi="Open Sans" w:cs="Open Sans"/>
          <w:b/>
          <w:bCs/>
        </w:rPr>
      </w:pPr>
    </w:p>
    <w:p w14:paraId="795BDEA3" w14:textId="77777777" w:rsidR="00EF3883"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Canarias y Baleares, donde más se extiende la idea de que comprar sale más rentable que alquilar</w:t>
      </w:r>
    </w:p>
    <w:p w14:paraId="5478FEA9"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40CE8584" w14:textId="77777777" w:rsidR="00EF388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La tensión que atraviesa el mercado del alquiler también queda reflejada en otra de las percepciones analizadas por la ecuesta. Canarias y Baleares son las comunidades autónomas donde más respaldo obtiene la afirmación de que, con los precios actuales del arrendamiento, resulta más conveniente pagar una hipoteca que afrontar una renta mensual. </w:t>
      </w:r>
      <w:r>
        <w:rPr>
          <w:rFonts w:ascii="Open Sans" w:eastAsia="Open Sans" w:hAnsi="Open Sans" w:cs="Open Sans"/>
          <w:b/>
          <w:bCs/>
        </w:rPr>
        <w:t>En Baleares, el 76% de los particulares comparte esta opinión, mientras que en Canarias el porcentaje alcanza el 75%.</w:t>
      </w:r>
      <w:r>
        <w:rPr>
          <w:rFonts w:ascii="Open Sans" w:eastAsia="Open Sans" w:hAnsi="Open Sans" w:cs="Open Sans"/>
        </w:rPr>
        <w:t xml:space="preserve"> En ambos territorios la valoración media de esta opinión sobre el mercado de la vivienda es de 7,8 puntos sobre diez, situándose entre las más elevadas del país.</w:t>
      </w:r>
    </w:p>
    <w:p w14:paraId="4DE4F6EA"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63E1404E" w14:textId="77777777" w:rsidR="00EF388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Además, esta percepción ha ganado fuerza respecto a los resultados registrados en febrero de 2025,</w:t>
      </w:r>
      <w:r>
        <w:rPr>
          <w:rFonts w:ascii="Open Sans" w:eastAsia="Open Sans" w:hAnsi="Open Sans" w:cs="Open Sans"/>
          <w:b/>
          <w:bCs/>
        </w:rPr>
        <w:t xml:space="preserve"> </w:t>
      </w:r>
      <w:r>
        <w:rPr>
          <w:rFonts w:ascii="Open Sans" w:eastAsia="Open Sans" w:hAnsi="Open Sans" w:cs="Open Sans"/>
        </w:rPr>
        <w:t xml:space="preserve">lo que evidencia cómo </w:t>
      </w:r>
      <w:r>
        <w:rPr>
          <w:rFonts w:ascii="Open Sans" w:eastAsia="Open Sans" w:hAnsi="Open Sans" w:cs="Open Sans"/>
          <w:b/>
          <w:bCs/>
        </w:rPr>
        <w:t>el encarecimiento de los alquileres sigue reforzando la sensación de que la compra puede representar una alternativa más atractiva desde el punto de vista económico</w:t>
      </w:r>
      <w:r>
        <w:rPr>
          <w:rFonts w:ascii="Open Sans" w:eastAsia="Open Sans" w:hAnsi="Open Sans" w:cs="Open Sans"/>
        </w:rPr>
        <w:t>. No obstante, esta visión convive con otro fenómeno relevante: el encarecimiento del mercado de compraventa también está modificando la percepción tradicional de la vivienda como activo patrimonial.</w:t>
      </w:r>
    </w:p>
    <w:p w14:paraId="536CCD3F"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100ACCB8" w14:textId="77777777" w:rsidR="00EF3883"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La vivienda pierde atractivo como inversión en un contexto de precios elevados</w:t>
      </w:r>
    </w:p>
    <w:p w14:paraId="095C78BA"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3B902ECB" w14:textId="77777777" w:rsidR="00EF388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datos muestran que </w:t>
      </w:r>
      <w:r>
        <w:rPr>
          <w:rFonts w:ascii="Open Sans" w:eastAsia="Open Sans" w:hAnsi="Open Sans" w:cs="Open Sans"/>
          <w:b/>
          <w:bCs/>
        </w:rPr>
        <w:t>la consideración de la vivienda como una inversión segura, una fuente de valor o un activo para transmitir en herencia ha perdido respaldo de forma generalizada</w:t>
      </w:r>
      <w:r>
        <w:rPr>
          <w:rFonts w:ascii="Open Sans" w:eastAsia="Open Sans" w:hAnsi="Open Sans" w:cs="Open Sans"/>
        </w:rPr>
        <w:t xml:space="preserve"> en las distintas comunidades autónomas. Uno de los casos más significativos es el de Madrid. En 2025, el 74% </w:t>
      </w:r>
      <w:r>
        <w:rPr>
          <w:rFonts w:ascii="Open Sans" w:eastAsia="Open Sans" w:hAnsi="Open Sans" w:cs="Open Sans"/>
        </w:rPr>
        <w:lastRenderedPageBreak/>
        <w:t>de los particulares consideraba que la vivienda era una buena inversión. Un año después, el porcentaje se sitúa en el 69%, reflejando una pérdida de confianza en el potencial inversor del mercado residencial.</w:t>
      </w:r>
    </w:p>
    <w:p w14:paraId="255FF691"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6D82E3D4" w14:textId="77777777" w:rsidR="00EF3883" w:rsidRDefault="00000000">
      <w:pPr>
        <w:pBdr>
          <w:top w:val="nil"/>
          <w:left w:val="nil"/>
          <w:bottom w:val="nil"/>
          <w:right w:val="nil"/>
          <w:between w:val="nil"/>
        </w:pBdr>
        <w:spacing w:line="276" w:lineRule="auto"/>
        <w:jc w:val="both"/>
        <w:rPr>
          <w:rFonts w:ascii="National" w:eastAsia="National" w:hAnsi="National" w:cs="National"/>
          <w:b/>
          <w:bCs/>
          <w:color w:val="303AB2"/>
          <w:sz w:val="32"/>
          <w:szCs w:val="32"/>
        </w:rPr>
      </w:pPr>
      <w:r>
        <w:rPr>
          <w:rFonts w:ascii="National" w:eastAsia="National" w:hAnsi="National" w:cs="National"/>
          <w:b/>
          <w:bCs/>
          <w:color w:val="303AB2"/>
          <w:sz w:val="32"/>
          <w:szCs w:val="32"/>
        </w:rPr>
        <w:t>Aumenta la percepción de que el mercado se acerca a una burbuja inmobiliaria</w:t>
      </w:r>
    </w:p>
    <w:p w14:paraId="516B1CF9"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15435819" w14:textId="77777777" w:rsidR="00EF3883"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Junto a las preocupaciones relacionadas con el acceso a la vivienda y la evolución de los precios, también </w:t>
      </w:r>
      <w:r>
        <w:rPr>
          <w:rFonts w:ascii="Open Sans" w:eastAsia="Open Sans" w:hAnsi="Open Sans" w:cs="Open Sans"/>
          <w:b/>
          <w:bCs/>
        </w:rPr>
        <w:t>crece la sensación de que el mercado inmobiliario podría estar aproximándose a una situación de burbuja</w:t>
      </w:r>
      <w:r>
        <w:rPr>
          <w:rFonts w:ascii="Open Sans" w:eastAsia="Open Sans" w:hAnsi="Open Sans" w:cs="Open Sans"/>
        </w:rPr>
        <w:t>. Durante el último año ha aumentado de forma transversal el porcentaje de ciudadanos que perciben esta posibilidad en las distintas comunidades autónomas. Madrid y Baleares son los territorios donde esta opinión registra una mayor incidencia, con un 59% de respaldo en ambos casos. La valoración media alcanza los 6,8 puntos sobre diez en Madrid y los 6,9 puntos en Baleares. Andalucía también destaca entre las comunidades con mayor preocupación por esta cuestión. Un 56% de los particulares considera que el mercado inmobiliario se está aproximando a una burbuja, otorgando a esta percepción una media de 6,7 sobre diez, mientras que, en otras comunidades como Cataluña (6,6) o la Comunidad Valenciana (6,5), esta puntuación queda más cercana al promedio nacional (6,6).</w:t>
      </w:r>
    </w:p>
    <w:p w14:paraId="5397702D" w14:textId="77777777" w:rsidR="00EF3883" w:rsidRDefault="00EF3883">
      <w:pPr>
        <w:pBdr>
          <w:top w:val="nil"/>
          <w:left w:val="nil"/>
          <w:bottom w:val="nil"/>
          <w:right w:val="nil"/>
          <w:between w:val="nil"/>
        </w:pBdr>
        <w:spacing w:line="276" w:lineRule="auto"/>
        <w:jc w:val="both"/>
        <w:rPr>
          <w:rFonts w:ascii="Open Sans" w:eastAsia="Open Sans" w:hAnsi="Open Sans" w:cs="Open Sans"/>
        </w:rPr>
      </w:pPr>
    </w:p>
    <w:p w14:paraId="5BB4CFF3" w14:textId="77777777" w:rsidR="00EF3883" w:rsidRDefault="00000000">
      <w:pPr>
        <w:keepNext/>
        <w:spacing w:after="200"/>
        <w:rPr>
          <w:b/>
          <w:bCs/>
        </w:rPr>
      </w:pPr>
      <w:r>
        <w:rPr>
          <w:b/>
          <w:bCs/>
          <w:smallCaps/>
          <w:color w:val="323FAB"/>
        </w:rPr>
        <w:t>opinión sobre el mercado de la vivienda por ccaa</w:t>
      </w:r>
      <w:r>
        <w:rPr>
          <w:b/>
          <w:bCs/>
        </w:rPr>
        <w:br/>
      </w:r>
      <w:r>
        <w:rPr>
          <w:b/>
          <w:bCs/>
          <w:smallCaps/>
          <w:color w:val="323FAB"/>
        </w:rPr>
        <w:t>(% sobre la población mayor de 18 años)</w:t>
      </w:r>
    </w:p>
    <w:tbl>
      <w:tblPr>
        <w:tblStyle w:val="a"/>
        <w:tblW w:w="9057" w:type="dxa"/>
        <w:tblInd w:w="0" w:type="dxa"/>
        <w:tblBorders>
          <w:top w:val="single" w:sz="4" w:space="0" w:color="88E8E0"/>
          <w:left w:val="single" w:sz="4" w:space="0" w:color="88E8E0"/>
          <w:bottom w:val="single" w:sz="4" w:space="0" w:color="88E8E0"/>
          <w:right w:val="single" w:sz="4" w:space="0" w:color="88E8E0"/>
          <w:insideH w:val="single" w:sz="4" w:space="0" w:color="88E8E0"/>
          <w:insideV w:val="single" w:sz="4" w:space="0" w:color="88E8E0"/>
        </w:tblBorders>
        <w:tblLayout w:type="fixed"/>
        <w:tblLook w:val="04A0" w:firstRow="1" w:lastRow="0" w:firstColumn="1" w:lastColumn="0" w:noHBand="0" w:noVBand="1"/>
      </w:tblPr>
      <w:tblGrid>
        <w:gridCol w:w="2413"/>
        <w:gridCol w:w="806"/>
        <w:gridCol w:w="934"/>
        <w:gridCol w:w="809"/>
        <w:gridCol w:w="1015"/>
        <w:gridCol w:w="1261"/>
        <w:gridCol w:w="910"/>
        <w:gridCol w:w="909"/>
      </w:tblGrid>
      <w:tr w:rsidR="00EF3883" w14:paraId="64F2395F" w14:textId="77777777" w:rsidTr="00EF38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il"/>
              <w:left w:val="nil"/>
              <w:bottom w:val="nil"/>
              <w:right w:val="single" w:sz="4" w:space="0" w:color="39D9CD"/>
            </w:tcBorders>
            <w:shd w:val="clear" w:color="auto" w:fill="323FAC"/>
            <w:vAlign w:val="center"/>
          </w:tcPr>
          <w:p w14:paraId="429A879A" w14:textId="77777777" w:rsidR="00EF3883" w:rsidRDefault="00EF3883">
            <w:pPr>
              <w:spacing w:after="160" w:line="259" w:lineRule="auto"/>
              <w:rPr>
                <w:sz w:val="20"/>
                <w:szCs w:val="20"/>
              </w:rPr>
            </w:pPr>
          </w:p>
        </w:tc>
        <w:tc>
          <w:tcPr>
            <w:tcW w:w="6644" w:type="dxa"/>
            <w:gridSpan w:val="7"/>
            <w:tcBorders>
              <w:top w:val="nil"/>
              <w:left w:val="single" w:sz="4" w:space="0" w:color="39D9CD"/>
              <w:bottom w:val="nil"/>
            </w:tcBorders>
            <w:shd w:val="clear" w:color="auto" w:fill="323FAC"/>
          </w:tcPr>
          <w:p w14:paraId="3D50EF1E" w14:textId="77777777" w:rsidR="00EF3883" w:rsidRDefault="00000000">
            <w:pPr>
              <w:jc w:val="center"/>
              <w:cnfStyle w:val="100000000000" w:firstRow="1" w:lastRow="0" w:firstColumn="0" w:lastColumn="0" w:oddVBand="0" w:evenVBand="0" w:oddHBand="0" w:evenHBand="0" w:firstRowFirstColumn="0" w:firstRowLastColumn="0" w:lastRowFirstColumn="0" w:lastRowLastColumn="0"/>
            </w:pPr>
            <w:r>
              <w:t>Valoración media</w:t>
            </w:r>
          </w:p>
        </w:tc>
      </w:tr>
      <w:tr w:rsidR="00EF3883" w14:paraId="0478467D"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il"/>
              <w:left w:val="nil"/>
              <w:bottom w:val="nil"/>
              <w:right w:val="single" w:sz="4" w:space="0" w:color="39D9CD"/>
            </w:tcBorders>
            <w:shd w:val="clear" w:color="auto" w:fill="323FAC"/>
            <w:vAlign w:val="center"/>
          </w:tcPr>
          <w:p w14:paraId="3B8FEBCC" w14:textId="77777777" w:rsidR="00EF3883" w:rsidRDefault="00EF3883">
            <w:pPr>
              <w:spacing w:after="160" w:line="259" w:lineRule="auto"/>
              <w:rPr>
                <w:sz w:val="20"/>
                <w:szCs w:val="20"/>
              </w:rPr>
            </w:pPr>
          </w:p>
        </w:tc>
        <w:tc>
          <w:tcPr>
            <w:tcW w:w="806" w:type="dxa"/>
            <w:tcBorders>
              <w:top w:val="nil"/>
              <w:left w:val="single" w:sz="4" w:space="0" w:color="39D9CD"/>
              <w:bottom w:val="single" w:sz="6" w:space="0" w:color="39D9CD"/>
              <w:right w:val="single" w:sz="6" w:space="0" w:color="39D9CD"/>
            </w:tcBorders>
            <w:shd w:val="clear" w:color="auto" w:fill="323FAC"/>
          </w:tcPr>
          <w:p w14:paraId="1B55B55F" w14:textId="77777777" w:rsidR="00EF3883" w:rsidRDefault="00000000">
            <w:pPr>
              <w:cnfStyle w:val="000000100000" w:firstRow="0" w:lastRow="0" w:firstColumn="0" w:lastColumn="0" w:oddVBand="0" w:evenVBand="0" w:oddHBand="1" w:evenHBand="0" w:firstRowFirstColumn="0" w:firstRowLastColumn="0" w:lastRowFirstColumn="0" w:lastRowLastColumn="0"/>
              <w:rPr>
                <w:b/>
                <w:bCs/>
                <w:color w:val="FFFFFF"/>
                <w:sz w:val="20"/>
                <w:szCs w:val="20"/>
              </w:rPr>
            </w:pPr>
            <w:r>
              <w:rPr>
                <w:b/>
                <w:bCs/>
                <w:color w:val="FFFFFF"/>
                <w:sz w:val="20"/>
                <w:szCs w:val="20"/>
              </w:rPr>
              <w:t>España</w:t>
            </w:r>
          </w:p>
        </w:tc>
        <w:tc>
          <w:tcPr>
            <w:tcW w:w="934" w:type="dxa"/>
            <w:tcBorders>
              <w:top w:val="nil"/>
              <w:left w:val="single" w:sz="6" w:space="0" w:color="39D9CD"/>
              <w:bottom w:val="single" w:sz="6" w:space="0" w:color="39D9CD"/>
              <w:right w:val="single" w:sz="6" w:space="0" w:color="39D9CD"/>
            </w:tcBorders>
            <w:shd w:val="clear" w:color="auto" w:fill="323FAC"/>
          </w:tcPr>
          <w:p w14:paraId="421BC332"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Cataluña</w:t>
            </w:r>
          </w:p>
        </w:tc>
        <w:tc>
          <w:tcPr>
            <w:tcW w:w="809" w:type="dxa"/>
            <w:tcBorders>
              <w:top w:val="nil"/>
              <w:left w:val="single" w:sz="6" w:space="0" w:color="39D9CD"/>
              <w:bottom w:val="single" w:sz="6" w:space="0" w:color="39D9CD"/>
              <w:right w:val="single" w:sz="6" w:space="0" w:color="39D9CD"/>
            </w:tcBorders>
            <w:shd w:val="clear" w:color="auto" w:fill="323FAC"/>
          </w:tcPr>
          <w:p w14:paraId="3E1C2C28"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Madrid</w:t>
            </w:r>
          </w:p>
        </w:tc>
        <w:tc>
          <w:tcPr>
            <w:tcW w:w="1015" w:type="dxa"/>
            <w:tcBorders>
              <w:top w:val="nil"/>
              <w:left w:val="single" w:sz="6" w:space="0" w:color="39D9CD"/>
              <w:bottom w:val="single" w:sz="6" w:space="0" w:color="39D9CD"/>
              <w:right w:val="single" w:sz="6" w:space="0" w:color="39D9CD"/>
            </w:tcBorders>
            <w:shd w:val="clear" w:color="auto" w:fill="323FAC"/>
          </w:tcPr>
          <w:p w14:paraId="59D6CFF3"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Andalucía</w:t>
            </w:r>
          </w:p>
        </w:tc>
        <w:tc>
          <w:tcPr>
            <w:tcW w:w="1261" w:type="dxa"/>
            <w:tcBorders>
              <w:top w:val="nil"/>
              <w:left w:val="single" w:sz="6" w:space="0" w:color="39D9CD"/>
              <w:bottom w:val="single" w:sz="6" w:space="0" w:color="39D9CD"/>
              <w:right w:val="single" w:sz="6" w:space="0" w:color="39D9CD"/>
            </w:tcBorders>
            <w:shd w:val="clear" w:color="auto" w:fill="323FAC"/>
          </w:tcPr>
          <w:p w14:paraId="20F479D1"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C.Valenciana</w:t>
            </w:r>
          </w:p>
        </w:tc>
        <w:tc>
          <w:tcPr>
            <w:tcW w:w="910" w:type="dxa"/>
            <w:tcBorders>
              <w:top w:val="nil"/>
              <w:left w:val="single" w:sz="6" w:space="0" w:color="39D9CD"/>
              <w:bottom w:val="single" w:sz="6" w:space="0" w:color="39D9CD"/>
              <w:right w:val="single" w:sz="4" w:space="0" w:color="39D9CD"/>
            </w:tcBorders>
            <w:shd w:val="clear" w:color="auto" w:fill="323FAC"/>
          </w:tcPr>
          <w:p w14:paraId="5DF206EA"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Baleares</w:t>
            </w:r>
          </w:p>
        </w:tc>
        <w:tc>
          <w:tcPr>
            <w:tcW w:w="909" w:type="dxa"/>
            <w:tcBorders>
              <w:top w:val="nil"/>
              <w:left w:val="single" w:sz="4" w:space="0" w:color="39D9CD"/>
              <w:bottom w:val="single" w:sz="6" w:space="0" w:color="39D9CD"/>
              <w:right w:val="single" w:sz="4" w:space="0" w:color="39D9CD"/>
            </w:tcBorders>
            <w:shd w:val="clear" w:color="auto" w:fill="323FAC"/>
          </w:tcPr>
          <w:p w14:paraId="29001D7E" w14:textId="77777777" w:rsidR="00EF3883" w:rsidRDefault="00000000">
            <w:pPr>
              <w:cnfStyle w:val="000000100000" w:firstRow="0" w:lastRow="0" w:firstColumn="0" w:lastColumn="0" w:oddVBand="0" w:evenVBand="0" w:oddHBand="1" w:evenHBand="0" w:firstRowFirstColumn="0" w:firstRowLastColumn="0" w:lastRowFirstColumn="0" w:lastRowLastColumn="0"/>
              <w:rPr>
                <w:color w:val="FFFFFF"/>
                <w:sz w:val="20"/>
                <w:szCs w:val="20"/>
              </w:rPr>
            </w:pPr>
            <w:r>
              <w:rPr>
                <w:color w:val="FFFFFF"/>
                <w:sz w:val="20"/>
                <w:szCs w:val="20"/>
              </w:rPr>
              <w:t>Canarias</w:t>
            </w:r>
          </w:p>
        </w:tc>
      </w:tr>
      <w:tr w:rsidR="00EF3883" w14:paraId="238B0539" w14:textId="77777777" w:rsidTr="00EF388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1534E97A" w14:textId="77777777" w:rsidR="00EF3883" w:rsidRDefault="00000000">
            <w:pPr>
              <w:rPr>
                <w:sz w:val="20"/>
                <w:szCs w:val="20"/>
              </w:rPr>
            </w:pPr>
            <w:r>
              <w:rPr>
                <w:sz w:val="20"/>
                <w:szCs w:val="20"/>
              </w:rPr>
              <w:t>La oferta de vivienda pública es insuficiente</w:t>
            </w:r>
          </w:p>
        </w:tc>
        <w:tc>
          <w:tcPr>
            <w:tcW w:w="806" w:type="dxa"/>
            <w:tcBorders>
              <w:top w:val="single" w:sz="4" w:space="0" w:color="39D9CD"/>
              <w:left w:val="single" w:sz="4" w:space="0" w:color="39D9CD"/>
              <w:bottom w:val="single" w:sz="4" w:space="0" w:color="39D9CD"/>
              <w:right w:val="single" w:sz="6" w:space="0" w:color="39D9CD"/>
            </w:tcBorders>
            <w:vAlign w:val="center"/>
          </w:tcPr>
          <w:p w14:paraId="29EDAC69"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8</w:t>
            </w:r>
          </w:p>
        </w:tc>
        <w:tc>
          <w:tcPr>
            <w:tcW w:w="934" w:type="dxa"/>
            <w:tcBorders>
              <w:top w:val="single" w:sz="4" w:space="0" w:color="39D9CD"/>
              <w:left w:val="single" w:sz="6" w:space="0" w:color="39D9CD"/>
              <w:bottom w:val="single" w:sz="4" w:space="0" w:color="39D9CD"/>
              <w:right w:val="single" w:sz="6" w:space="0" w:color="39D9CD"/>
            </w:tcBorders>
            <w:vAlign w:val="center"/>
          </w:tcPr>
          <w:p w14:paraId="1DFC0FBD"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c>
          <w:tcPr>
            <w:tcW w:w="809" w:type="dxa"/>
            <w:tcBorders>
              <w:top w:val="single" w:sz="4" w:space="0" w:color="39D9CD"/>
              <w:left w:val="single" w:sz="6" w:space="0" w:color="39D9CD"/>
              <w:bottom w:val="single" w:sz="4" w:space="0" w:color="39D9CD"/>
              <w:right w:val="single" w:sz="6" w:space="0" w:color="39D9CD"/>
            </w:tcBorders>
            <w:vAlign w:val="center"/>
          </w:tcPr>
          <w:p w14:paraId="69F48619"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8,2</w:t>
            </w:r>
          </w:p>
        </w:tc>
        <w:tc>
          <w:tcPr>
            <w:tcW w:w="1015" w:type="dxa"/>
            <w:tcBorders>
              <w:top w:val="single" w:sz="4" w:space="0" w:color="39D9CD"/>
              <w:left w:val="single" w:sz="6" w:space="0" w:color="39D9CD"/>
              <w:bottom w:val="single" w:sz="4" w:space="0" w:color="39D9CD"/>
              <w:right w:val="single" w:sz="6" w:space="0" w:color="39D9CD"/>
            </w:tcBorders>
            <w:vAlign w:val="center"/>
          </w:tcPr>
          <w:p w14:paraId="64C94F03"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w:t>
            </w:r>
          </w:p>
        </w:tc>
        <w:tc>
          <w:tcPr>
            <w:tcW w:w="1261" w:type="dxa"/>
            <w:tcBorders>
              <w:top w:val="single" w:sz="4" w:space="0" w:color="39D9CD"/>
              <w:left w:val="single" w:sz="6" w:space="0" w:color="39D9CD"/>
              <w:bottom w:val="single" w:sz="4" w:space="0" w:color="39D9CD"/>
              <w:right w:val="single" w:sz="6" w:space="0" w:color="39D9CD"/>
            </w:tcBorders>
            <w:vAlign w:val="center"/>
          </w:tcPr>
          <w:p w14:paraId="19E90F71"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c>
          <w:tcPr>
            <w:tcW w:w="910" w:type="dxa"/>
            <w:tcBorders>
              <w:top w:val="single" w:sz="4" w:space="0" w:color="39D9CD"/>
              <w:left w:val="single" w:sz="6" w:space="0" w:color="39D9CD"/>
              <w:bottom w:val="single" w:sz="4" w:space="0" w:color="39D9CD"/>
              <w:right w:val="single" w:sz="4" w:space="0" w:color="39D9CD"/>
            </w:tcBorders>
            <w:vAlign w:val="center"/>
          </w:tcPr>
          <w:p w14:paraId="1D02245D"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8,1</w:t>
            </w:r>
          </w:p>
        </w:tc>
        <w:tc>
          <w:tcPr>
            <w:tcW w:w="909" w:type="dxa"/>
            <w:tcBorders>
              <w:top w:val="single" w:sz="4" w:space="0" w:color="39D9CD"/>
              <w:left w:val="single" w:sz="4" w:space="0" w:color="39D9CD"/>
              <w:bottom w:val="single" w:sz="4" w:space="0" w:color="39D9CD"/>
              <w:right w:val="single" w:sz="4" w:space="0" w:color="39D9CD"/>
            </w:tcBorders>
            <w:vAlign w:val="center"/>
          </w:tcPr>
          <w:p w14:paraId="7639D41B"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r>
      <w:tr w:rsidR="00EF3883" w14:paraId="64A1CF7A"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nil"/>
              <w:left w:val="single" w:sz="4" w:space="0" w:color="88E8E0"/>
              <w:bottom w:val="single" w:sz="4" w:space="0" w:color="88E8E0"/>
              <w:right w:val="single" w:sz="4" w:space="0" w:color="39D9CD"/>
            </w:tcBorders>
            <w:vAlign w:val="bottom"/>
          </w:tcPr>
          <w:p w14:paraId="27542776" w14:textId="77777777" w:rsidR="00EF3883" w:rsidRDefault="00000000">
            <w:pPr>
              <w:rPr>
                <w:sz w:val="20"/>
                <w:szCs w:val="20"/>
              </w:rPr>
            </w:pPr>
            <w:r>
              <w:rPr>
                <w:sz w:val="20"/>
                <w:szCs w:val="20"/>
              </w:rPr>
              <w:t>El precio actual del alquiler hace que compense más pagar una hipoteca que un alquiler</w:t>
            </w:r>
          </w:p>
        </w:tc>
        <w:tc>
          <w:tcPr>
            <w:tcW w:w="806" w:type="dxa"/>
            <w:tcBorders>
              <w:top w:val="single" w:sz="6" w:space="0" w:color="39D9CD"/>
              <w:left w:val="single" w:sz="4" w:space="0" w:color="39D9CD"/>
              <w:bottom w:val="single" w:sz="4" w:space="0" w:color="39D9CD"/>
              <w:right w:val="single" w:sz="6" w:space="0" w:color="39D9CD"/>
            </w:tcBorders>
            <w:vAlign w:val="center"/>
          </w:tcPr>
          <w:p w14:paraId="627AA5D8"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7,5</w:t>
            </w:r>
          </w:p>
        </w:tc>
        <w:tc>
          <w:tcPr>
            <w:tcW w:w="934" w:type="dxa"/>
            <w:tcBorders>
              <w:top w:val="single" w:sz="6" w:space="0" w:color="39D9CD"/>
              <w:left w:val="single" w:sz="6" w:space="0" w:color="39D9CD"/>
              <w:bottom w:val="single" w:sz="4" w:space="0" w:color="39D9CD"/>
              <w:right w:val="single" w:sz="6" w:space="0" w:color="39D9CD"/>
            </w:tcBorders>
            <w:vAlign w:val="center"/>
          </w:tcPr>
          <w:p w14:paraId="1639305B"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809" w:type="dxa"/>
            <w:tcBorders>
              <w:top w:val="single" w:sz="6" w:space="0" w:color="39D9CD"/>
              <w:left w:val="single" w:sz="6" w:space="0" w:color="39D9CD"/>
              <w:bottom w:val="single" w:sz="4" w:space="0" w:color="39D9CD"/>
              <w:right w:val="single" w:sz="6" w:space="0" w:color="39D9CD"/>
            </w:tcBorders>
            <w:vAlign w:val="center"/>
          </w:tcPr>
          <w:p w14:paraId="2B00C137"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7,7</w:t>
            </w:r>
          </w:p>
        </w:tc>
        <w:tc>
          <w:tcPr>
            <w:tcW w:w="1015" w:type="dxa"/>
            <w:tcBorders>
              <w:top w:val="single" w:sz="6" w:space="0" w:color="39D9CD"/>
              <w:left w:val="single" w:sz="6" w:space="0" w:color="39D9CD"/>
              <w:bottom w:val="single" w:sz="4" w:space="0" w:color="39D9CD"/>
              <w:right w:val="single" w:sz="6" w:space="0" w:color="39D9CD"/>
            </w:tcBorders>
            <w:vAlign w:val="center"/>
          </w:tcPr>
          <w:p w14:paraId="5701309F"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1261" w:type="dxa"/>
            <w:tcBorders>
              <w:top w:val="single" w:sz="6" w:space="0" w:color="39D9CD"/>
              <w:left w:val="single" w:sz="6" w:space="0" w:color="39D9CD"/>
              <w:bottom w:val="single" w:sz="4" w:space="0" w:color="39D9CD"/>
              <w:right w:val="single" w:sz="6" w:space="0" w:color="39D9CD"/>
            </w:tcBorders>
            <w:vAlign w:val="center"/>
          </w:tcPr>
          <w:p w14:paraId="63B33534"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7,6</w:t>
            </w:r>
          </w:p>
        </w:tc>
        <w:tc>
          <w:tcPr>
            <w:tcW w:w="910" w:type="dxa"/>
            <w:tcBorders>
              <w:top w:val="single" w:sz="6" w:space="0" w:color="39D9CD"/>
              <w:left w:val="single" w:sz="6" w:space="0" w:color="39D9CD"/>
              <w:bottom w:val="single" w:sz="4" w:space="0" w:color="39D9CD"/>
              <w:right w:val="single" w:sz="4" w:space="0" w:color="39D9CD"/>
            </w:tcBorders>
            <w:vAlign w:val="center"/>
          </w:tcPr>
          <w:p w14:paraId="6D0CE5E1"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w:t>
            </w:r>
          </w:p>
        </w:tc>
        <w:tc>
          <w:tcPr>
            <w:tcW w:w="909" w:type="dxa"/>
            <w:tcBorders>
              <w:top w:val="single" w:sz="6" w:space="0" w:color="39D9CD"/>
              <w:left w:val="single" w:sz="4" w:space="0" w:color="39D9CD"/>
              <w:bottom w:val="single" w:sz="4" w:space="0" w:color="39D9CD"/>
              <w:right w:val="single" w:sz="4" w:space="0" w:color="39D9CD"/>
            </w:tcBorders>
            <w:vAlign w:val="center"/>
          </w:tcPr>
          <w:p w14:paraId="22DBC859"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7,8</w:t>
            </w:r>
          </w:p>
        </w:tc>
      </w:tr>
      <w:tr w:rsidR="00EF3883" w14:paraId="53ACA14B" w14:textId="77777777" w:rsidTr="00EF388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2EA170A9" w14:textId="77777777" w:rsidR="00EF3883" w:rsidRDefault="00000000">
            <w:pPr>
              <w:rPr>
                <w:sz w:val="20"/>
                <w:szCs w:val="20"/>
              </w:rPr>
            </w:pPr>
            <w:r>
              <w:rPr>
                <w:sz w:val="20"/>
                <w:szCs w:val="20"/>
              </w:rPr>
              <w:t>El sentimiento de propiedad está muy arraigado en la mentalidad de los españoles</w:t>
            </w:r>
          </w:p>
        </w:tc>
        <w:tc>
          <w:tcPr>
            <w:tcW w:w="806" w:type="dxa"/>
            <w:tcBorders>
              <w:top w:val="single" w:sz="4" w:space="0" w:color="39D9CD"/>
              <w:left w:val="single" w:sz="4" w:space="0" w:color="39D9CD"/>
              <w:bottom w:val="single" w:sz="4" w:space="0" w:color="39D9CD"/>
              <w:right w:val="single" w:sz="6" w:space="0" w:color="39D9CD"/>
            </w:tcBorders>
            <w:vAlign w:val="center"/>
          </w:tcPr>
          <w:p w14:paraId="026BC81C"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7,5</w:t>
            </w:r>
          </w:p>
        </w:tc>
        <w:tc>
          <w:tcPr>
            <w:tcW w:w="934" w:type="dxa"/>
            <w:tcBorders>
              <w:top w:val="single" w:sz="4" w:space="0" w:color="39D9CD"/>
              <w:left w:val="single" w:sz="6" w:space="0" w:color="39D9CD"/>
              <w:bottom w:val="single" w:sz="4" w:space="0" w:color="39D9CD"/>
              <w:right w:val="single" w:sz="6" w:space="0" w:color="39D9CD"/>
            </w:tcBorders>
            <w:vAlign w:val="center"/>
          </w:tcPr>
          <w:p w14:paraId="7BE87CEF"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809" w:type="dxa"/>
            <w:tcBorders>
              <w:top w:val="single" w:sz="4" w:space="0" w:color="39D9CD"/>
              <w:left w:val="single" w:sz="6" w:space="0" w:color="39D9CD"/>
              <w:bottom w:val="single" w:sz="4" w:space="0" w:color="39D9CD"/>
              <w:right w:val="single" w:sz="6" w:space="0" w:color="39D9CD"/>
            </w:tcBorders>
            <w:vAlign w:val="center"/>
          </w:tcPr>
          <w:p w14:paraId="210DE7D2"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7,6</w:t>
            </w:r>
          </w:p>
        </w:tc>
        <w:tc>
          <w:tcPr>
            <w:tcW w:w="1015" w:type="dxa"/>
            <w:tcBorders>
              <w:top w:val="single" w:sz="4" w:space="0" w:color="39D9CD"/>
              <w:left w:val="single" w:sz="6" w:space="0" w:color="39D9CD"/>
              <w:bottom w:val="single" w:sz="4" w:space="0" w:color="39D9CD"/>
              <w:right w:val="single" w:sz="6" w:space="0" w:color="39D9CD"/>
            </w:tcBorders>
            <w:vAlign w:val="center"/>
          </w:tcPr>
          <w:p w14:paraId="2D832B99"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1261" w:type="dxa"/>
            <w:tcBorders>
              <w:top w:val="single" w:sz="4" w:space="0" w:color="39D9CD"/>
              <w:left w:val="single" w:sz="6" w:space="0" w:color="39D9CD"/>
              <w:bottom w:val="single" w:sz="4" w:space="0" w:color="39D9CD"/>
              <w:right w:val="single" w:sz="6" w:space="0" w:color="39D9CD"/>
            </w:tcBorders>
            <w:vAlign w:val="center"/>
          </w:tcPr>
          <w:p w14:paraId="1C2C4AED"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c>
          <w:tcPr>
            <w:tcW w:w="910" w:type="dxa"/>
            <w:tcBorders>
              <w:top w:val="single" w:sz="4" w:space="0" w:color="39D9CD"/>
              <w:left w:val="single" w:sz="6" w:space="0" w:color="39D9CD"/>
              <w:bottom w:val="single" w:sz="4" w:space="0" w:color="39D9CD"/>
              <w:right w:val="single" w:sz="4" w:space="0" w:color="39D9CD"/>
            </w:tcBorders>
            <w:vAlign w:val="center"/>
          </w:tcPr>
          <w:p w14:paraId="6A431E5E"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909" w:type="dxa"/>
            <w:tcBorders>
              <w:top w:val="single" w:sz="4" w:space="0" w:color="39D9CD"/>
              <w:left w:val="single" w:sz="4" w:space="0" w:color="39D9CD"/>
              <w:bottom w:val="single" w:sz="4" w:space="0" w:color="39D9CD"/>
              <w:right w:val="single" w:sz="4" w:space="0" w:color="39D9CD"/>
            </w:tcBorders>
            <w:vAlign w:val="center"/>
          </w:tcPr>
          <w:p w14:paraId="2BF0E5CD"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7,5</w:t>
            </w:r>
          </w:p>
        </w:tc>
      </w:tr>
      <w:tr w:rsidR="00EF3883" w14:paraId="361492E7"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20B4A073" w14:textId="77777777" w:rsidR="00EF3883" w:rsidRDefault="00000000">
            <w:pPr>
              <w:rPr>
                <w:sz w:val="20"/>
                <w:szCs w:val="20"/>
              </w:rPr>
            </w:pPr>
            <w:r>
              <w:rPr>
                <w:sz w:val="20"/>
                <w:szCs w:val="20"/>
              </w:rPr>
              <w:t xml:space="preserve">Comprar una vivienda es una buena inversión </w:t>
            </w:r>
          </w:p>
        </w:tc>
        <w:tc>
          <w:tcPr>
            <w:tcW w:w="806" w:type="dxa"/>
            <w:tcBorders>
              <w:top w:val="single" w:sz="4" w:space="0" w:color="39D9CD"/>
              <w:left w:val="single" w:sz="4" w:space="0" w:color="39D9CD"/>
              <w:bottom w:val="single" w:sz="4" w:space="0" w:color="39D9CD"/>
              <w:right w:val="single" w:sz="6" w:space="0" w:color="39D9CD"/>
            </w:tcBorders>
            <w:vAlign w:val="center"/>
          </w:tcPr>
          <w:p w14:paraId="4C7C2C53"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7,2</w:t>
            </w:r>
          </w:p>
        </w:tc>
        <w:tc>
          <w:tcPr>
            <w:tcW w:w="934" w:type="dxa"/>
            <w:tcBorders>
              <w:top w:val="single" w:sz="4" w:space="0" w:color="39D9CD"/>
              <w:left w:val="single" w:sz="6" w:space="0" w:color="39D9CD"/>
              <w:bottom w:val="single" w:sz="4" w:space="0" w:color="39D9CD"/>
              <w:right w:val="single" w:sz="6" w:space="0" w:color="39D9CD"/>
            </w:tcBorders>
            <w:vAlign w:val="center"/>
          </w:tcPr>
          <w:p w14:paraId="52BD501B"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w:t>
            </w:r>
          </w:p>
        </w:tc>
        <w:tc>
          <w:tcPr>
            <w:tcW w:w="809" w:type="dxa"/>
            <w:tcBorders>
              <w:top w:val="single" w:sz="4" w:space="0" w:color="39D9CD"/>
              <w:left w:val="single" w:sz="6" w:space="0" w:color="39D9CD"/>
              <w:bottom w:val="single" w:sz="4" w:space="0" w:color="39D9CD"/>
              <w:right w:val="single" w:sz="6" w:space="0" w:color="39D9CD"/>
            </w:tcBorders>
            <w:vAlign w:val="center"/>
          </w:tcPr>
          <w:p w14:paraId="43B7017D"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w:t>
            </w:r>
          </w:p>
        </w:tc>
        <w:tc>
          <w:tcPr>
            <w:tcW w:w="1015" w:type="dxa"/>
            <w:tcBorders>
              <w:top w:val="single" w:sz="4" w:space="0" w:color="39D9CD"/>
              <w:left w:val="single" w:sz="6" w:space="0" w:color="39D9CD"/>
              <w:bottom w:val="single" w:sz="4" w:space="0" w:color="39D9CD"/>
              <w:right w:val="single" w:sz="6" w:space="0" w:color="39D9CD"/>
            </w:tcBorders>
            <w:vAlign w:val="center"/>
          </w:tcPr>
          <w:p w14:paraId="5EC0DE8B"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7,2</w:t>
            </w:r>
          </w:p>
        </w:tc>
        <w:tc>
          <w:tcPr>
            <w:tcW w:w="1261" w:type="dxa"/>
            <w:tcBorders>
              <w:top w:val="single" w:sz="4" w:space="0" w:color="39D9CD"/>
              <w:left w:val="single" w:sz="6" w:space="0" w:color="39D9CD"/>
              <w:bottom w:val="single" w:sz="4" w:space="0" w:color="39D9CD"/>
              <w:right w:val="single" w:sz="6" w:space="0" w:color="39D9CD"/>
            </w:tcBorders>
            <w:vAlign w:val="center"/>
          </w:tcPr>
          <w:p w14:paraId="282654F0"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7,3</w:t>
            </w:r>
          </w:p>
        </w:tc>
        <w:tc>
          <w:tcPr>
            <w:tcW w:w="910" w:type="dxa"/>
            <w:tcBorders>
              <w:top w:val="single" w:sz="4" w:space="0" w:color="39D9CD"/>
              <w:left w:val="single" w:sz="6" w:space="0" w:color="39D9CD"/>
              <w:bottom w:val="single" w:sz="4" w:space="0" w:color="39D9CD"/>
              <w:right w:val="single" w:sz="4" w:space="0" w:color="39D9CD"/>
            </w:tcBorders>
            <w:vAlign w:val="center"/>
          </w:tcPr>
          <w:p w14:paraId="619537E1"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09" w:type="dxa"/>
            <w:tcBorders>
              <w:top w:val="single" w:sz="4" w:space="0" w:color="39D9CD"/>
              <w:left w:val="single" w:sz="4" w:space="0" w:color="39D9CD"/>
              <w:bottom w:val="single" w:sz="4" w:space="0" w:color="39D9CD"/>
              <w:right w:val="single" w:sz="4" w:space="0" w:color="39D9CD"/>
            </w:tcBorders>
            <w:vAlign w:val="center"/>
          </w:tcPr>
          <w:p w14:paraId="348D9186"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w:t>
            </w:r>
          </w:p>
        </w:tc>
      </w:tr>
      <w:tr w:rsidR="00EF3883" w14:paraId="263F61F2" w14:textId="77777777" w:rsidTr="00EF388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4E547DDC" w14:textId="77777777" w:rsidR="00EF3883" w:rsidRDefault="00000000">
            <w:pPr>
              <w:rPr>
                <w:sz w:val="20"/>
                <w:szCs w:val="20"/>
              </w:rPr>
            </w:pPr>
            <w:r>
              <w:rPr>
                <w:sz w:val="20"/>
                <w:szCs w:val="20"/>
              </w:rPr>
              <w:t>Las condiciones hipotecarias actuales hacen más difícil la compra de vivienda</w:t>
            </w:r>
          </w:p>
        </w:tc>
        <w:tc>
          <w:tcPr>
            <w:tcW w:w="806" w:type="dxa"/>
            <w:tcBorders>
              <w:top w:val="single" w:sz="4" w:space="0" w:color="39D9CD"/>
              <w:left w:val="single" w:sz="4" w:space="0" w:color="39D9CD"/>
              <w:bottom w:val="single" w:sz="4" w:space="0" w:color="39D9CD"/>
              <w:right w:val="single" w:sz="6" w:space="0" w:color="39D9CD"/>
            </w:tcBorders>
            <w:vAlign w:val="center"/>
          </w:tcPr>
          <w:p w14:paraId="1A6D47E0"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7</w:t>
            </w:r>
          </w:p>
        </w:tc>
        <w:tc>
          <w:tcPr>
            <w:tcW w:w="934" w:type="dxa"/>
            <w:tcBorders>
              <w:top w:val="single" w:sz="4" w:space="0" w:color="39D9CD"/>
              <w:left w:val="single" w:sz="6" w:space="0" w:color="39D9CD"/>
              <w:bottom w:val="single" w:sz="4" w:space="0" w:color="39D9CD"/>
              <w:right w:val="single" w:sz="6" w:space="0" w:color="39D9CD"/>
            </w:tcBorders>
            <w:vAlign w:val="center"/>
          </w:tcPr>
          <w:p w14:paraId="6D6B25E1"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w:t>
            </w:r>
          </w:p>
        </w:tc>
        <w:tc>
          <w:tcPr>
            <w:tcW w:w="809" w:type="dxa"/>
            <w:tcBorders>
              <w:top w:val="single" w:sz="4" w:space="0" w:color="39D9CD"/>
              <w:left w:val="single" w:sz="6" w:space="0" w:color="39D9CD"/>
              <w:bottom w:val="single" w:sz="4" w:space="0" w:color="39D9CD"/>
              <w:right w:val="single" w:sz="6" w:space="0" w:color="39D9CD"/>
            </w:tcBorders>
            <w:vAlign w:val="center"/>
          </w:tcPr>
          <w:p w14:paraId="429909D8"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7,2</w:t>
            </w:r>
          </w:p>
        </w:tc>
        <w:tc>
          <w:tcPr>
            <w:tcW w:w="1015" w:type="dxa"/>
            <w:tcBorders>
              <w:top w:val="single" w:sz="4" w:space="0" w:color="39D9CD"/>
              <w:left w:val="single" w:sz="6" w:space="0" w:color="39D9CD"/>
              <w:bottom w:val="single" w:sz="4" w:space="0" w:color="39D9CD"/>
              <w:right w:val="single" w:sz="6" w:space="0" w:color="39D9CD"/>
            </w:tcBorders>
            <w:vAlign w:val="center"/>
          </w:tcPr>
          <w:p w14:paraId="041B8CE6"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7,4</w:t>
            </w:r>
          </w:p>
        </w:tc>
        <w:tc>
          <w:tcPr>
            <w:tcW w:w="1261" w:type="dxa"/>
            <w:tcBorders>
              <w:top w:val="single" w:sz="4" w:space="0" w:color="39D9CD"/>
              <w:left w:val="single" w:sz="6" w:space="0" w:color="39D9CD"/>
              <w:bottom w:val="single" w:sz="4" w:space="0" w:color="39D9CD"/>
              <w:right w:val="single" w:sz="6" w:space="0" w:color="39D9CD"/>
            </w:tcBorders>
            <w:vAlign w:val="center"/>
          </w:tcPr>
          <w:p w14:paraId="2FF8F679"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910" w:type="dxa"/>
            <w:tcBorders>
              <w:top w:val="single" w:sz="4" w:space="0" w:color="39D9CD"/>
              <w:left w:val="single" w:sz="6" w:space="0" w:color="39D9CD"/>
              <w:bottom w:val="single" w:sz="4" w:space="0" w:color="39D9CD"/>
              <w:right w:val="single" w:sz="4" w:space="0" w:color="39D9CD"/>
            </w:tcBorders>
            <w:vAlign w:val="center"/>
          </w:tcPr>
          <w:p w14:paraId="7D144C28"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w:t>
            </w:r>
          </w:p>
        </w:tc>
        <w:tc>
          <w:tcPr>
            <w:tcW w:w="909" w:type="dxa"/>
            <w:tcBorders>
              <w:top w:val="single" w:sz="4" w:space="0" w:color="39D9CD"/>
              <w:left w:val="single" w:sz="4" w:space="0" w:color="39D9CD"/>
              <w:bottom w:val="single" w:sz="4" w:space="0" w:color="39D9CD"/>
              <w:right w:val="single" w:sz="4" w:space="0" w:color="39D9CD"/>
            </w:tcBorders>
            <w:vAlign w:val="center"/>
          </w:tcPr>
          <w:p w14:paraId="0EBA9052"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r>
      <w:tr w:rsidR="00EF3883" w14:paraId="096CB977"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689D57AE" w14:textId="77777777" w:rsidR="00EF3883" w:rsidRDefault="00000000">
            <w:pPr>
              <w:rPr>
                <w:sz w:val="20"/>
                <w:szCs w:val="20"/>
              </w:rPr>
            </w:pPr>
            <w:r>
              <w:rPr>
                <w:sz w:val="20"/>
                <w:szCs w:val="20"/>
              </w:rPr>
              <w:lastRenderedPageBreak/>
              <w:t>Un piso es la mejor herencia que puedes dejar a tus hijos</w:t>
            </w:r>
          </w:p>
        </w:tc>
        <w:tc>
          <w:tcPr>
            <w:tcW w:w="806" w:type="dxa"/>
            <w:tcBorders>
              <w:top w:val="single" w:sz="4" w:space="0" w:color="39D9CD"/>
              <w:left w:val="single" w:sz="4" w:space="0" w:color="39D9CD"/>
              <w:bottom w:val="single" w:sz="4" w:space="0" w:color="39D9CD"/>
              <w:right w:val="single" w:sz="6" w:space="0" w:color="39D9CD"/>
            </w:tcBorders>
            <w:vAlign w:val="center"/>
          </w:tcPr>
          <w:p w14:paraId="77399516"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6,8</w:t>
            </w:r>
          </w:p>
        </w:tc>
        <w:tc>
          <w:tcPr>
            <w:tcW w:w="934" w:type="dxa"/>
            <w:tcBorders>
              <w:top w:val="single" w:sz="4" w:space="0" w:color="39D9CD"/>
              <w:left w:val="single" w:sz="6" w:space="0" w:color="39D9CD"/>
              <w:bottom w:val="single" w:sz="4" w:space="0" w:color="39D9CD"/>
              <w:right w:val="single" w:sz="6" w:space="0" w:color="39D9CD"/>
            </w:tcBorders>
            <w:vAlign w:val="center"/>
          </w:tcPr>
          <w:p w14:paraId="771955E4"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809" w:type="dxa"/>
            <w:tcBorders>
              <w:top w:val="single" w:sz="4" w:space="0" w:color="39D9CD"/>
              <w:left w:val="single" w:sz="6" w:space="0" w:color="39D9CD"/>
              <w:bottom w:val="single" w:sz="4" w:space="0" w:color="39D9CD"/>
              <w:right w:val="single" w:sz="6" w:space="0" w:color="39D9CD"/>
            </w:tcBorders>
            <w:vAlign w:val="center"/>
          </w:tcPr>
          <w:p w14:paraId="2200F10F"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7,1</w:t>
            </w:r>
          </w:p>
        </w:tc>
        <w:tc>
          <w:tcPr>
            <w:tcW w:w="1015" w:type="dxa"/>
            <w:tcBorders>
              <w:top w:val="single" w:sz="4" w:space="0" w:color="39D9CD"/>
              <w:left w:val="single" w:sz="6" w:space="0" w:color="39D9CD"/>
              <w:bottom w:val="single" w:sz="4" w:space="0" w:color="39D9CD"/>
              <w:right w:val="single" w:sz="6" w:space="0" w:color="39D9CD"/>
            </w:tcBorders>
            <w:vAlign w:val="center"/>
          </w:tcPr>
          <w:p w14:paraId="192C8F37"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6,8</w:t>
            </w:r>
          </w:p>
        </w:tc>
        <w:tc>
          <w:tcPr>
            <w:tcW w:w="1261" w:type="dxa"/>
            <w:tcBorders>
              <w:top w:val="single" w:sz="4" w:space="0" w:color="39D9CD"/>
              <w:left w:val="single" w:sz="6" w:space="0" w:color="39D9CD"/>
              <w:bottom w:val="single" w:sz="4" w:space="0" w:color="39D9CD"/>
              <w:right w:val="single" w:sz="6" w:space="0" w:color="39D9CD"/>
            </w:tcBorders>
            <w:vAlign w:val="center"/>
          </w:tcPr>
          <w:p w14:paraId="5D7EDE63"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6,9</w:t>
            </w:r>
          </w:p>
        </w:tc>
        <w:tc>
          <w:tcPr>
            <w:tcW w:w="910" w:type="dxa"/>
            <w:tcBorders>
              <w:top w:val="single" w:sz="4" w:space="0" w:color="39D9CD"/>
              <w:left w:val="single" w:sz="6" w:space="0" w:color="39D9CD"/>
              <w:bottom w:val="single" w:sz="4" w:space="0" w:color="39D9CD"/>
              <w:right w:val="single" w:sz="4" w:space="0" w:color="39D9CD"/>
            </w:tcBorders>
            <w:vAlign w:val="center"/>
          </w:tcPr>
          <w:p w14:paraId="672658A6"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7,5</w:t>
            </w:r>
          </w:p>
        </w:tc>
        <w:tc>
          <w:tcPr>
            <w:tcW w:w="909" w:type="dxa"/>
            <w:tcBorders>
              <w:top w:val="single" w:sz="4" w:space="0" w:color="39D9CD"/>
              <w:left w:val="single" w:sz="4" w:space="0" w:color="39D9CD"/>
              <w:bottom w:val="single" w:sz="4" w:space="0" w:color="39D9CD"/>
              <w:right w:val="single" w:sz="4" w:space="0" w:color="39D9CD"/>
            </w:tcBorders>
            <w:vAlign w:val="center"/>
          </w:tcPr>
          <w:p w14:paraId="4523CC98"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r>
      <w:tr w:rsidR="00EF3883" w14:paraId="6126362E" w14:textId="77777777" w:rsidTr="00EF388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2B13C055" w14:textId="77777777" w:rsidR="00EF3883" w:rsidRDefault="00000000">
            <w:pPr>
              <w:rPr>
                <w:sz w:val="20"/>
                <w:szCs w:val="20"/>
              </w:rPr>
            </w:pPr>
            <w:r>
              <w:rPr>
                <w:sz w:val="20"/>
                <w:szCs w:val="20"/>
              </w:rPr>
              <w:t xml:space="preserve">Estamos próximos a una nueva burbuja inmobiliaria </w:t>
            </w:r>
          </w:p>
        </w:tc>
        <w:tc>
          <w:tcPr>
            <w:tcW w:w="806" w:type="dxa"/>
            <w:tcBorders>
              <w:top w:val="single" w:sz="4" w:space="0" w:color="39D9CD"/>
              <w:left w:val="single" w:sz="4" w:space="0" w:color="39D9CD"/>
              <w:bottom w:val="single" w:sz="4" w:space="0" w:color="39D9CD"/>
              <w:right w:val="single" w:sz="6" w:space="0" w:color="39D9CD"/>
            </w:tcBorders>
            <w:vAlign w:val="center"/>
          </w:tcPr>
          <w:p w14:paraId="2FC635E7"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6,6</w:t>
            </w:r>
          </w:p>
        </w:tc>
        <w:tc>
          <w:tcPr>
            <w:tcW w:w="934" w:type="dxa"/>
            <w:tcBorders>
              <w:top w:val="single" w:sz="4" w:space="0" w:color="39D9CD"/>
              <w:left w:val="single" w:sz="6" w:space="0" w:color="39D9CD"/>
              <w:bottom w:val="single" w:sz="4" w:space="0" w:color="39D9CD"/>
              <w:right w:val="single" w:sz="6" w:space="0" w:color="39D9CD"/>
            </w:tcBorders>
            <w:vAlign w:val="center"/>
          </w:tcPr>
          <w:p w14:paraId="620E9B29"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809" w:type="dxa"/>
            <w:tcBorders>
              <w:top w:val="single" w:sz="4" w:space="0" w:color="39D9CD"/>
              <w:left w:val="single" w:sz="6" w:space="0" w:color="39D9CD"/>
              <w:bottom w:val="single" w:sz="4" w:space="0" w:color="39D9CD"/>
              <w:right w:val="single" w:sz="6" w:space="0" w:color="39D9CD"/>
            </w:tcBorders>
            <w:vAlign w:val="center"/>
          </w:tcPr>
          <w:p w14:paraId="65634F3B"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6,8</w:t>
            </w:r>
          </w:p>
        </w:tc>
        <w:tc>
          <w:tcPr>
            <w:tcW w:w="1015" w:type="dxa"/>
            <w:tcBorders>
              <w:top w:val="single" w:sz="4" w:space="0" w:color="39D9CD"/>
              <w:left w:val="single" w:sz="6" w:space="0" w:color="39D9CD"/>
              <w:bottom w:val="single" w:sz="4" w:space="0" w:color="39D9CD"/>
              <w:right w:val="single" w:sz="6" w:space="0" w:color="39D9CD"/>
            </w:tcBorders>
            <w:vAlign w:val="center"/>
          </w:tcPr>
          <w:p w14:paraId="2DE37462"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6,7</w:t>
            </w:r>
          </w:p>
        </w:tc>
        <w:tc>
          <w:tcPr>
            <w:tcW w:w="1261" w:type="dxa"/>
            <w:tcBorders>
              <w:top w:val="single" w:sz="4" w:space="0" w:color="39D9CD"/>
              <w:left w:val="single" w:sz="6" w:space="0" w:color="39D9CD"/>
              <w:bottom w:val="single" w:sz="4" w:space="0" w:color="39D9CD"/>
              <w:right w:val="single" w:sz="6" w:space="0" w:color="39D9CD"/>
            </w:tcBorders>
            <w:vAlign w:val="center"/>
          </w:tcPr>
          <w:p w14:paraId="09F4A74D"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6,6</w:t>
            </w:r>
          </w:p>
        </w:tc>
        <w:tc>
          <w:tcPr>
            <w:tcW w:w="910" w:type="dxa"/>
            <w:tcBorders>
              <w:top w:val="single" w:sz="4" w:space="0" w:color="39D9CD"/>
              <w:left w:val="single" w:sz="6" w:space="0" w:color="39D9CD"/>
              <w:bottom w:val="single" w:sz="4" w:space="0" w:color="39D9CD"/>
              <w:right w:val="single" w:sz="4" w:space="0" w:color="39D9CD"/>
            </w:tcBorders>
            <w:vAlign w:val="center"/>
          </w:tcPr>
          <w:p w14:paraId="09C2E455"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6,9</w:t>
            </w:r>
          </w:p>
        </w:tc>
        <w:tc>
          <w:tcPr>
            <w:tcW w:w="909" w:type="dxa"/>
            <w:tcBorders>
              <w:top w:val="single" w:sz="4" w:space="0" w:color="39D9CD"/>
              <w:left w:val="single" w:sz="4" w:space="0" w:color="39D9CD"/>
              <w:bottom w:val="single" w:sz="4" w:space="0" w:color="39D9CD"/>
              <w:right w:val="single" w:sz="4" w:space="0" w:color="39D9CD"/>
            </w:tcBorders>
            <w:vAlign w:val="center"/>
          </w:tcPr>
          <w:p w14:paraId="14BE3C91"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6,5</w:t>
            </w:r>
          </w:p>
        </w:tc>
      </w:tr>
      <w:tr w:rsidR="00EF3883" w14:paraId="3307DCBA"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11F962B2" w14:textId="77777777" w:rsidR="00EF3883" w:rsidRDefault="00000000">
            <w:pPr>
              <w:rPr>
                <w:sz w:val="20"/>
                <w:szCs w:val="20"/>
              </w:rPr>
            </w:pPr>
            <w:r>
              <w:rPr>
                <w:sz w:val="20"/>
                <w:szCs w:val="20"/>
              </w:rPr>
              <w:t>Vivir de alquiler es tirar el dinero</w:t>
            </w:r>
          </w:p>
        </w:tc>
        <w:tc>
          <w:tcPr>
            <w:tcW w:w="806" w:type="dxa"/>
            <w:tcBorders>
              <w:top w:val="single" w:sz="4" w:space="0" w:color="39D9CD"/>
              <w:left w:val="single" w:sz="4" w:space="0" w:color="39D9CD"/>
              <w:bottom w:val="single" w:sz="4" w:space="0" w:color="39D9CD"/>
              <w:right w:val="single" w:sz="6" w:space="0" w:color="39D9CD"/>
            </w:tcBorders>
            <w:vAlign w:val="center"/>
          </w:tcPr>
          <w:p w14:paraId="274C144B"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6,4</w:t>
            </w:r>
          </w:p>
        </w:tc>
        <w:tc>
          <w:tcPr>
            <w:tcW w:w="934" w:type="dxa"/>
            <w:tcBorders>
              <w:top w:val="single" w:sz="4" w:space="0" w:color="39D9CD"/>
              <w:left w:val="single" w:sz="6" w:space="0" w:color="39D9CD"/>
              <w:bottom w:val="single" w:sz="4" w:space="0" w:color="39D9CD"/>
              <w:right w:val="single" w:sz="6" w:space="0" w:color="39D9CD"/>
            </w:tcBorders>
            <w:vAlign w:val="center"/>
          </w:tcPr>
          <w:p w14:paraId="2CB33B9E"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c>
          <w:tcPr>
            <w:tcW w:w="809" w:type="dxa"/>
            <w:tcBorders>
              <w:top w:val="single" w:sz="4" w:space="0" w:color="39D9CD"/>
              <w:left w:val="single" w:sz="6" w:space="0" w:color="39D9CD"/>
              <w:bottom w:val="single" w:sz="4" w:space="0" w:color="39D9CD"/>
              <w:right w:val="single" w:sz="6" w:space="0" w:color="39D9CD"/>
            </w:tcBorders>
            <w:vAlign w:val="center"/>
          </w:tcPr>
          <w:p w14:paraId="7302E2FA"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6,5</w:t>
            </w:r>
          </w:p>
        </w:tc>
        <w:tc>
          <w:tcPr>
            <w:tcW w:w="1015" w:type="dxa"/>
            <w:tcBorders>
              <w:top w:val="single" w:sz="4" w:space="0" w:color="39D9CD"/>
              <w:left w:val="single" w:sz="6" w:space="0" w:color="39D9CD"/>
              <w:bottom w:val="single" w:sz="4" w:space="0" w:color="39D9CD"/>
              <w:right w:val="single" w:sz="6" w:space="0" w:color="39D9CD"/>
            </w:tcBorders>
            <w:vAlign w:val="center"/>
          </w:tcPr>
          <w:p w14:paraId="50CA9511"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6,3</w:t>
            </w:r>
          </w:p>
        </w:tc>
        <w:tc>
          <w:tcPr>
            <w:tcW w:w="1261" w:type="dxa"/>
            <w:tcBorders>
              <w:top w:val="single" w:sz="4" w:space="0" w:color="39D9CD"/>
              <w:left w:val="single" w:sz="6" w:space="0" w:color="39D9CD"/>
              <w:bottom w:val="single" w:sz="4" w:space="0" w:color="39D9CD"/>
              <w:right w:val="single" w:sz="6" w:space="0" w:color="39D9CD"/>
            </w:tcBorders>
            <w:vAlign w:val="center"/>
          </w:tcPr>
          <w:p w14:paraId="06C59DF2"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10" w:type="dxa"/>
            <w:tcBorders>
              <w:top w:val="single" w:sz="4" w:space="0" w:color="39D9CD"/>
              <w:left w:val="single" w:sz="6" w:space="0" w:color="39D9CD"/>
              <w:bottom w:val="single" w:sz="4" w:space="0" w:color="39D9CD"/>
              <w:right w:val="single" w:sz="4" w:space="0" w:color="39D9CD"/>
            </w:tcBorders>
            <w:vAlign w:val="center"/>
          </w:tcPr>
          <w:p w14:paraId="66490E8D"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6,7</w:t>
            </w:r>
          </w:p>
        </w:tc>
        <w:tc>
          <w:tcPr>
            <w:tcW w:w="909" w:type="dxa"/>
            <w:tcBorders>
              <w:top w:val="single" w:sz="4" w:space="0" w:color="39D9CD"/>
              <w:left w:val="single" w:sz="4" w:space="0" w:color="39D9CD"/>
              <w:bottom w:val="single" w:sz="4" w:space="0" w:color="39D9CD"/>
              <w:right w:val="single" w:sz="4" w:space="0" w:color="39D9CD"/>
            </w:tcBorders>
            <w:vAlign w:val="center"/>
          </w:tcPr>
          <w:p w14:paraId="1BC0158F"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w:t>
            </w:r>
          </w:p>
        </w:tc>
      </w:tr>
      <w:tr w:rsidR="00EF3883" w14:paraId="502556C4" w14:textId="77777777" w:rsidTr="00EF3883">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4FAB93E0" w14:textId="77777777" w:rsidR="00EF3883" w:rsidRDefault="00000000">
            <w:pPr>
              <w:rPr>
                <w:sz w:val="20"/>
                <w:szCs w:val="20"/>
              </w:rPr>
            </w:pPr>
            <w:r>
              <w:rPr>
                <w:sz w:val="20"/>
                <w:szCs w:val="20"/>
              </w:rPr>
              <w:t>La tendencia en el mercado de la vivienda es alquilar más y comprar menos</w:t>
            </w:r>
          </w:p>
        </w:tc>
        <w:tc>
          <w:tcPr>
            <w:tcW w:w="806" w:type="dxa"/>
            <w:tcBorders>
              <w:top w:val="single" w:sz="4" w:space="0" w:color="39D9CD"/>
              <w:left w:val="single" w:sz="4" w:space="0" w:color="39D9CD"/>
              <w:bottom w:val="single" w:sz="4" w:space="0" w:color="39D9CD"/>
              <w:right w:val="single" w:sz="6" w:space="0" w:color="39D9CD"/>
            </w:tcBorders>
            <w:vAlign w:val="center"/>
          </w:tcPr>
          <w:p w14:paraId="0454DD15"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sz w:val="20"/>
                <w:szCs w:val="20"/>
              </w:rPr>
              <w:t>5,6</w:t>
            </w:r>
          </w:p>
        </w:tc>
        <w:tc>
          <w:tcPr>
            <w:tcW w:w="934" w:type="dxa"/>
            <w:tcBorders>
              <w:top w:val="single" w:sz="4" w:space="0" w:color="39D9CD"/>
              <w:left w:val="single" w:sz="6" w:space="0" w:color="39D9CD"/>
              <w:bottom w:val="single" w:sz="4" w:space="0" w:color="39D9CD"/>
              <w:right w:val="single" w:sz="6" w:space="0" w:color="39D9CD"/>
            </w:tcBorders>
            <w:vAlign w:val="center"/>
          </w:tcPr>
          <w:p w14:paraId="46B226E6"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809" w:type="dxa"/>
            <w:tcBorders>
              <w:top w:val="single" w:sz="4" w:space="0" w:color="39D9CD"/>
              <w:left w:val="single" w:sz="6" w:space="0" w:color="39D9CD"/>
              <w:bottom w:val="single" w:sz="4" w:space="0" w:color="39D9CD"/>
              <w:right w:val="single" w:sz="6" w:space="0" w:color="39D9CD"/>
            </w:tcBorders>
            <w:vAlign w:val="center"/>
          </w:tcPr>
          <w:p w14:paraId="3B8B2F34"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c>
          <w:tcPr>
            <w:tcW w:w="1015" w:type="dxa"/>
            <w:tcBorders>
              <w:top w:val="single" w:sz="4" w:space="0" w:color="39D9CD"/>
              <w:left w:val="single" w:sz="6" w:space="0" w:color="39D9CD"/>
              <w:bottom w:val="single" w:sz="4" w:space="0" w:color="39D9CD"/>
              <w:right w:val="single" w:sz="6" w:space="0" w:color="39D9CD"/>
            </w:tcBorders>
            <w:vAlign w:val="center"/>
          </w:tcPr>
          <w:p w14:paraId="659EBC13"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5,8</w:t>
            </w:r>
          </w:p>
        </w:tc>
        <w:tc>
          <w:tcPr>
            <w:tcW w:w="1261" w:type="dxa"/>
            <w:tcBorders>
              <w:top w:val="single" w:sz="4" w:space="0" w:color="39D9CD"/>
              <w:left w:val="single" w:sz="6" w:space="0" w:color="39D9CD"/>
              <w:bottom w:val="single" w:sz="4" w:space="0" w:color="39D9CD"/>
              <w:right w:val="single" w:sz="6" w:space="0" w:color="39D9CD"/>
            </w:tcBorders>
            <w:vAlign w:val="center"/>
          </w:tcPr>
          <w:p w14:paraId="15A20B1C"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5,7</w:t>
            </w:r>
          </w:p>
        </w:tc>
        <w:tc>
          <w:tcPr>
            <w:tcW w:w="910" w:type="dxa"/>
            <w:tcBorders>
              <w:top w:val="single" w:sz="4" w:space="0" w:color="39D9CD"/>
              <w:left w:val="single" w:sz="6" w:space="0" w:color="39D9CD"/>
              <w:bottom w:val="single" w:sz="4" w:space="0" w:color="39D9CD"/>
              <w:right w:val="single" w:sz="4" w:space="0" w:color="39D9CD"/>
            </w:tcBorders>
            <w:vAlign w:val="center"/>
          </w:tcPr>
          <w:p w14:paraId="0490DB5C"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5,4</w:t>
            </w:r>
          </w:p>
        </w:tc>
        <w:tc>
          <w:tcPr>
            <w:tcW w:w="909" w:type="dxa"/>
            <w:tcBorders>
              <w:top w:val="single" w:sz="4" w:space="0" w:color="39D9CD"/>
              <w:left w:val="single" w:sz="4" w:space="0" w:color="39D9CD"/>
              <w:bottom w:val="single" w:sz="4" w:space="0" w:color="39D9CD"/>
              <w:right w:val="single" w:sz="4" w:space="0" w:color="39D9CD"/>
            </w:tcBorders>
            <w:vAlign w:val="center"/>
          </w:tcPr>
          <w:p w14:paraId="443C1603" w14:textId="77777777" w:rsidR="00EF3883" w:rsidRDefault="00000000">
            <w:pPr>
              <w:spacing w:after="160" w:line="259" w:lineRule="auto"/>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5,6</w:t>
            </w:r>
          </w:p>
        </w:tc>
      </w:tr>
      <w:tr w:rsidR="00EF3883" w14:paraId="05D44560" w14:textId="77777777" w:rsidTr="00EF38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88E8E0"/>
              <w:left w:val="single" w:sz="4" w:space="0" w:color="88E8E0"/>
              <w:bottom w:val="single" w:sz="4" w:space="0" w:color="88E8E0"/>
              <w:right w:val="single" w:sz="4" w:space="0" w:color="88E8E0"/>
            </w:tcBorders>
            <w:vAlign w:val="bottom"/>
          </w:tcPr>
          <w:p w14:paraId="437E89B3" w14:textId="77777777" w:rsidR="00EF3883" w:rsidRDefault="00000000">
            <w:pPr>
              <w:rPr>
                <w:sz w:val="20"/>
                <w:szCs w:val="20"/>
              </w:rPr>
            </w:pPr>
            <w:r>
              <w:rPr>
                <w:sz w:val="20"/>
                <w:szCs w:val="20"/>
              </w:rPr>
              <w:t>La nueva normativa de control de precios de alquiler de vivienda favorecerá el equilibrio entre oferta y demanda</w:t>
            </w:r>
          </w:p>
        </w:tc>
        <w:tc>
          <w:tcPr>
            <w:tcW w:w="806" w:type="dxa"/>
            <w:tcBorders>
              <w:top w:val="single" w:sz="4" w:space="0" w:color="39D9CD"/>
              <w:left w:val="single" w:sz="4" w:space="0" w:color="39D9CD"/>
              <w:bottom w:val="single" w:sz="6" w:space="0" w:color="39D9CD"/>
              <w:right w:val="single" w:sz="6" w:space="0" w:color="39D9CD"/>
            </w:tcBorders>
            <w:vAlign w:val="center"/>
          </w:tcPr>
          <w:p w14:paraId="68757277"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4,7</w:t>
            </w:r>
          </w:p>
        </w:tc>
        <w:tc>
          <w:tcPr>
            <w:tcW w:w="934" w:type="dxa"/>
            <w:tcBorders>
              <w:top w:val="single" w:sz="4" w:space="0" w:color="39D9CD"/>
              <w:left w:val="single" w:sz="6" w:space="0" w:color="39D9CD"/>
              <w:bottom w:val="single" w:sz="6" w:space="0" w:color="39D9CD"/>
              <w:right w:val="single" w:sz="6" w:space="0" w:color="39D9CD"/>
            </w:tcBorders>
            <w:vAlign w:val="center"/>
          </w:tcPr>
          <w:p w14:paraId="7CB52248"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w:t>
            </w:r>
          </w:p>
        </w:tc>
        <w:tc>
          <w:tcPr>
            <w:tcW w:w="809" w:type="dxa"/>
            <w:tcBorders>
              <w:top w:val="single" w:sz="4" w:space="0" w:color="39D9CD"/>
              <w:left w:val="single" w:sz="6" w:space="0" w:color="39D9CD"/>
              <w:bottom w:val="single" w:sz="6" w:space="0" w:color="39D9CD"/>
              <w:right w:val="single" w:sz="6" w:space="0" w:color="39D9CD"/>
            </w:tcBorders>
            <w:vAlign w:val="center"/>
          </w:tcPr>
          <w:p w14:paraId="4BF1294E"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015" w:type="dxa"/>
            <w:tcBorders>
              <w:top w:val="single" w:sz="4" w:space="0" w:color="39D9CD"/>
              <w:left w:val="single" w:sz="6" w:space="0" w:color="39D9CD"/>
              <w:bottom w:val="single" w:sz="6" w:space="0" w:color="39D9CD"/>
              <w:right w:val="single" w:sz="6" w:space="0" w:color="39D9CD"/>
            </w:tcBorders>
            <w:vAlign w:val="center"/>
          </w:tcPr>
          <w:p w14:paraId="7DCA66A1"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c>
          <w:tcPr>
            <w:tcW w:w="1261" w:type="dxa"/>
            <w:tcBorders>
              <w:top w:val="single" w:sz="4" w:space="0" w:color="39D9CD"/>
              <w:left w:val="single" w:sz="6" w:space="0" w:color="39D9CD"/>
              <w:bottom w:val="single" w:sz="6" w:space="0" w:color="39D9CD"/>
              <w:right w:val="single" w:sz="6" w:space="0" w:color="39D9CD"/>
            </w:tcBorders>
            <w:vAlign w:val="center"/>
          </w:tcPr>
          <w:p w14:paraId="58D031C3"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4,8</w:t>
            </w:r>
          </w:p>
        </w:tc>
        <w:tc>
          <w:tcPr>
            <w:tcW w:w="910" w:type="dxa"/>
            <w:tcBorders>
              <w:top w:val="single" w:sz="4" w:space="0" w:color="39D9CD"/>
              <w:left w:val="single" w:sz="6" w:space="0" w:color="39D9CD"/>
              <w:bottom w:val="single" w:sz="6" w:space="0" w:color="39D9CD"/>
              <w:right w:val="single" w:sz="4" w:space="0" w:color="39D9CD"/>
            </w:tcBorders>
            <w:vAlign w:val="center"/>
          </w:tcPr>
          <w:p w14:paraId="4611E8AC"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4,5</w:t>
            </w:r>
          </w:p>
        </w:tc>
        <w:tc>
          <w:tcPr>
            <w:tcW w:w="909" w:type="dxa"/>
            <w:tcBorders>
              <w:top w:val="single" w:sz="4" w:space="0" w:color="39D9CD"/>
              <w:left w:val="single" w:sz="4" w:space="0" w:color="39D9CD"/>
              <w:bottom w:val="single" w:sz="6" w:space="0" w:color="39D9CD"/>
              <w:right w:val="single" w:sz="4" w:space="0" w:color="39D9CD"/>
            </w:tcBorders>
            <w:vAlign w:val="center"/>
          </w:tcPr>
          <w:p w14:paraId="3817D85D" w14:textId="77777777" w:rsidR="00EF3883" w:rsidRDefault="00000000">
            <w:pPr>
              <w:spacing w:after="160" w:line="259" w:lineRule="auto"/>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4,7</w:t>
            </w:r>
          </w:p>
        </w:tc>
      </w:tr>
    </w:tbl>
    <w:p w14:paraId="3B762255" w14:textId="77777777" w:rsidR="00EF3883" w:rsidRDefault="00EF3883">
      <w:pPr>
        <w:spacing w:after="160" w:line="259" w:lineRule="auto"/>
        <w:rPr>
          <w:sz w:val="22"/>
          <w:szCs w:val="22"/>
        </w:rPr>
      </w:pPr>
    </w:p>
    <w:p w14:paraId="550D0F98" w14:textId="77777777" w:rsidR="00EF3883" w:rsidRDefault="00EF3883" w:rsidP="00C57573">
      <w:pPr>
        <w:pBdr>
          <w:top w:val="nil"/>
          <w:left w:val="nil"/>
          <w:bottom w:val="nil"/>
          <w:right w:val="nil"/>
          <w:between w:val="nil"/>
        </w:pBdr>
        <w:spacing w:line="276" w:lineRule="auto"/>
        <w:jc w:val="both"/>
        <w:rPr>
          <w:rFonts w:ascii="Open Sans" w:eastAsia="Open Sans" w:hAnsi="Open Sans" w:cs="Open Sans"/>
        </w:rPr>
      </w:pPr>
    </w:p>
    <w:p w14:paraId="711C2DFC" w14:textId="77777777" w:rsidR="00EF3883" w:rsidRDefault="00000000" w:rsidP="00C5757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w:t>
      </w:r>
    </w:p>
    <w:p w14:paraId="611CFF60"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Fotocasa es uno de los principales portales inmobiliarios de España, con una amplia oferta de viviendas de segunda mano, promociones de obra nueva y alquileres que pertenece a </w:t>
      </w:r>
      <w:r>
        <w:rPr>
          <w:rFonts w:ascii="Open Sans" w:eastAsia="Open Sans" w:hAnsi="Open Sans" w:cs="Open Sans"/>
          <w:b/>
          <w:bCs/>
          <w:sz w:val="22"/>
          <w:szCs w:val="22"/>
        </w:rPr>
        <w:t>Fotocasa Group</w:t>
      </w:r>
      <w:r>
        <w:rPr>
          <w:rFonts w:ascii="Open Sans" w:eastAsia="Open Sans" w:hAnsi="Open Sans" w:cs="Open Sans"/>
          <w:sz w:val="22"/>
          <w:szCs w:val="22"/>
        </w:rPr>
        <w:t xml:space="preserve">. </w:t>
      </w:r>
    </w:p>
    <w:p w14:paraId="307DF632"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Mensualmente, elabora el </w:t>
      </w:r>
      <w:hyperlink r:id="rId11">
        <w:r w:rsidR="00EF3883">
          <w:rPr>
            <w:rFonts w:ascii="Open Sans" w:eastAsia="Open Sans" w:hAnsi="Open Sans" w:cs="Open Sans"/>
            <w:b/>
            <w:bCs/>
            <w:color w:val="0000FF"/>
            <w:sz w:val="22"/>
            <w:szCs w:val="22"/>
            <w:u w:val="single"/>
          </w:rPr>
          <w:t>Índice inmobiliario Fotocasa</w:t>
        </w:r>
      </w:hyperlink>
      <w:r>
        <w:rPr>
          <w:rFonts w:ascii="Open Sans" w:eastAsia="Open Sans" w:hAnsi="Open Sans" w:cs="Open Sans"/>
          <w:sz w:val="22"/>
          <w:szCs w:val="22"/>
        </w:rPr>
        <w:t xml:space="preserve">, un informe de referencia que analiza la evolución del precio medio de la vivienda en España, tanto en venta como en alquiler. Desde 2017, desarrolla además estudios sociológicos bajo el sello </w:t>
      </w:r>
      <w:hyperlink r:id="rId12">
        <w:r w:rsidR="00EF3883">
          <w:rPr>
            <w:rFonts w:ascii="Open Sans" w:eastAsia="Open Sans" w:hAnsi="Open Sans" w:cs="Open Sans"/>
            <w:b/>
            <w:bCs/>
            <w:color w:val="0000FF"/>
            <w:sz w:val="22"/>
            <w:szCs w:val="22"/>
            <w:u w:val="single"/>
          </w:rPr>
          <w:t>Fotocasa Research</w:t>
        </w:r>
      </w:hyperlink>
      <w:r>
        <w:rPr>
          <w:rFonts w:ascii="Open Sans" w:eastAsia="Open Sans" w:hAnsi="Open Sans" w:cs="Open Sans"/>
          <w:sz w:val="22"/>
          <w:szCs w:val="22"/>
        </w:rPr>
        <w:t>, con el objetivo de aportar conocimiento y análisis en profundidad sobre las tendencias del mercado y el comportamiento de los ciudadanos en relación con la vivienda.</w:t>
      </w:r>
    </w:p>
    <w:p w14:paraId="6B5A9A5A"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la información y los últimos comunicados están disponibles en su </w:t>
      </w:r>
      <w:hyperlink r:id="rId13">
        <w:r w:rsidR="00EF3883">
          <w:rPr>
            <w:rFonts w:ascii="Open Sans" w:eastAsia="Open Sans" w:hAnsi="Open Sans" w:cs="Open Sans"/>
            <w:b/>
            <w:bCs/>
            <w:color w:val="0000FF"/>
            <w:sz w:val="22"/>
            <w:szCs w:val="22"/>
            <w:u w:val="single"/>
          </w:rPr>
          <w:t>Sala de Prensa</w:t>
        </w:r>
      </w:hyperlink>
    </w:p>
    <w:p w14:paraId="0DE065C2" w14:textId="77777777" w:rsidR="00EF3883" w:rsidRDefault="00EF3883" w:rsidP="00C57573">
      <w:pPr>
        <w:spacing w:line="276" w:lineRule="auto"/>
        <w:rPr>
          <w:rFonts w:ascii="Open Sans Light" w:eastAsia="Open Sans Light" w:hAnsi="Open Sans Light" w:cs="Open Sans Light"/>
          <w:b/>
          <w:bCs/>
          <w:color w:val="303AB2"/>
        </w:rPr>
      </w:pPr>
    </w:p>
    <w:p w14:paraId="74AC8F14" w14:textId="77777777" w:rsidR="00EF3883" w:rsidRDefault="00000000" w:rsidP="00C5757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Fotocasa Group</w:t>
      </w:r>
    </w:p>
    <w:p w14:paraId="1AF9D6AC"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w:t>
      </w:r>
      <w:r>
        <w:rPr>
          <w:rFonts w:ascii="Open Sans" w:eastAsia="Open Sans" w:hAnsi="Open Sans" w:cs="Open Sans"/>
          <w:sz w:val="22"/>
          <w:szCs w:val="22"/>
        </w:rPr>
        <w:t xml:space="preserve"> es un referente del sector inmobiliario en España, </w:t>
      </w:r>
      <w:r>
        <w:rPr>
          <w:rFonts w:ascii="Open Sans" w:eastAsia="Open Sans" w:hAnsi="Open Sans" w:cs="Open Sans"/>
          <w:b/>
          <w:bCs/>
          <w:sz w:val="22"/>
          <w:szCs w:val="22"/>
        </w:rPr>
        <w:t>con más de 25 años de experiencia</w:t>
      </w:r>
      <w:r>
        <w:rPr>
          <w:rFonts w:ascii="Open Sans" w:eastAsia="Open Sans" w:hAnsi="Open Sans" w:cs="Open Sans"/>
          <w:sz w:val="22"/>
          <w:szCs w:val="22"/>
        </w:rPr>
        <w:t> liderando la transformación del real estate a través de la innovación, los datos y la tecnología.</w:t>
      </w:r>
    </w:p>
    <w:p w14:paraId="7DAD473E"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Bajo su marca paraguas, Fotocasa Group impulsa y da visibilidad a un ecosistema de marcas líderes —</w:t>
      </w:r>
      <w:hyperlink r:id="rId14">
        <w:r w:rsidR="00EF3883">
          <w:rPr>
            <w:rFonts w:ascii="Open Sans" w:eastAsia="Open Sans" w:hAnsi="Open Sans" w:cs="Open Sans"/>
            <w:b/>
            <w:bCs/>
            <w:color w:val="0000FF"/>
            <w:sz w:val="22"/>
            <w:szCs w:val="22"/>
            <w:u w:val="single"/>
          </w:rPr>
          <w:t>Fotocasa</w:t>
        </w:r>
      </w:hyperlink>
      <w:r>
        <w:rPr>
          <w:rFonts w:ascii="Open Sans" w:eastAsia="Open Sans" w:hAnsi="Open Sans" w:cs="Open Sans"/>
          <w:sz w:val="22"/>
          <w:szCs w:val="22"/>
        </w:rPr>
        <w:t xml:space="preserve">, </w:t>
      </w:r>
      <w:hyperlink r:id="rId15">
        <w:r w:rsidR="00EF3883">
          <w:rPr>
            <w:rFonts w:ascii="Open Sans" w:eastAsia="Open Sans" w:hAnsi="Open Sans" w:cs="Open Sans"/>
            <w:b/>
            <w:bCs/>
            <w:color w:val="0000FF"/>
            <w:sz w:val="22"/>
            <w:szCs w:val="22"/>
            <w:u w:val="single"/>
          </w:rPr>
          <w:t>habitaclia</w:t>
        </w:r>
      </w:hyperlink>
      <w:r>
        <w:rPr>
          <w:rFonts w:ascii="Open Sans" w:eastAsia="Open Sans" w:hAnsi="Open Sans" w:cs="Open Sans"/>
          <w:sz w:val="22"/>
          <w:szCs w:val="22"/>
        </w:rPr>
        <w:t xml:space="preserve">, </w:t>
      </w:r>
      <w:hyperlink r:id="rId16">
        <w:r w:rsidR="00EF3883">
          <w:rPr>
            <w:rFonts w:ascii="Open Sans" w:eastAsia="Open Sans" w:hAnsi="Open Sans" w:cs="Open Sans"/>
            <w:b/>
            <w:bCs/>
            <w:color w:val="0000FF"/>
            <w:sz w:val="22"/>
            <w:szCs w:val="22"/>
            <w:u w:val="single"/>
          </w:rPr>
          <w:t>Fotocasa Pro</w:t>
        </w:r>
      </w:hyperlink>
      <w:r>
        <w:rPr>
          <w:rFonts w:ascii="Open Sans" w:eastAsia="Open Sans" w:hAnsi="Open Sans" w:cs="Open Sans"/>
          <w:sz w:val="22"/>
          <w:szCs w:val="22"/>
        </w:rPr>
        <w:t xml:space="preserve">, </w:t>
      </w:r>
      <w:hyperlink r:id="rId17">
        <w:r w:rsidR="00EF3883">
          <w:rPr>
            <w:rFonts w:ascii="Open Sans" w:eastAsia="Open Sans" w:hAnsi="Open Sans" w:cs="Open Sans"/>
            <w:b/>
            <w:bCs/>
            <w:color w:val="0000FF"/>
            <w:sz w:val="22"/>
            <w:szCs w:val="22"/>
            <w:u w:val="single"/>
          </w:rPr>
          <w:t>Datavenues</w:t>
        </w:r>
      </w:hyperlink>
      <w:r>
        <w:rPr>
          <w:rFonts w:ascii="Open Sans" w:eastAsia="Open Sans" w:hAnsi="Open Sans" w:cs="Open Sans"/>
          <w:sz w:val="22"/>
          <w:szCs w:val="22"/>
        </w:rPr>
        <w:t xml:space="preserve">, </w:t>
      </w:r>
      <w:hyperlink r:id="rId18">
        <w:r w:rsidR="00EF3883">
          <w:rPr>
            <w:rFonts w:ascii="Open Sans" w:eastAsia="Open Sans" w:hAnsi="Open Sans" w:cs="Open Sans"/>
            <w:b/>
            <w:bCs/>
            <w:color w:val="0000FF"/>
            <w:sz w:val="22"/>
            <w:szCs w:val="22"/>
            <w:u w:val="single"/>
          </w:rPr>
          <w:t>Witei</w:t>
        </w:r>
      </w:hyperlink>
      <w:r>
        <w:rPr>
          <w:rFonts w:ascii="Open Sans" w:eastAsia="Open Sans" w:hAnsi="Open Sans" w:cs="Open Sans"/>
          <w:sz w:val="22"/>
          <w:szCs w:val="22"/>
        </w:rPr>
        <w:t xml:space="preserve"> e </w:t>
      </w:r>
      <w:hyperlink r:id="rId19">
        <w:r w:rsidR="00EF3883">
          <w:rPr>
            <w:rFonts w:ascii="Open Sans" w:eastAsia="Open Sans" w:hAnsi="Open Sans" w:cs="Open Sans"/>
            <w:b/>
            <w:bCs/>
            <w:color w:val="0000FF"/>
            <w:sz w:val="22"/>
            <w:szCs w:val="22"/>
          </w:rPr>
          <w:t>Inmoweb</w:t>
        </w:r>
      </w:hyperlink>
      <w:r>
        <w:rPr>
          <w:rFonts w:ascii="Open Sans" w:eastAsia="Open Sans" w:hAnsi="Open Sans" w:cs="Open Sans"/>
          <w:sz w:val="22"/>
          <w:szCs w:val="22"/>
        </w:rPr>
        <w:t xml:space="preserve">— que ofrecen soluciones integrales tanto </w:t>
      </w:r>
      <w:r>
        <w:rPr>
          <w:rFonts w:ascii="Open Sans" w:eastAsia="Open Sans" w:hAnsi="Open Sans" w:cs="Open Sans"/>
          <w:b/>
          <w:bCs/>
          <w:sz w:val="22"/>
          <w:szCs w:val="22"/>
        </w:rPr>
        <w:t>para particulares como para profesionales del sector</w:t>
      </w:r>
      <w:r>
        <w:rPr>
          <w:rFonts w:ascii="Open Sans" w:eastAsia="Open Sans" w:hAnsi="Open Sans" w:cs="Open Sans"/>
          <w:sz w:val="22"/>
          <w:szCs w:val="22"/>
        </w:rPr>
        <w:t>.</w:t>
      </w:r>
    </w:p>
    <w:p w14:paraId="7B930FA7" w14:textId="77777777" w:rsidR="00EF3883" w:rsidRDefault="00000000" w:rsidP="00C57573">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b/>
          <w:bCs/>
          <w:sz w:val="22"/>
          <w:szCs w:val="22"/>
        </w:rPr>
        <w:lastRenderedPageBreak/>
        <w:t>Fotocasa</w:t>
      </w:r>
      <w:r>
        <w:rPr>
          <w:rFonts w:ascii="Open Sans" w:eastAsia="Open Sans" w:hAnsi="Open Sans" w:cs="Open Sans"/>
          <w:sz w:val="22"/>
          <w:szCs w:val="22"/>
        </w:rPr>
        <w:t>, la marca insignia del grupo, conecta cada día a </w:t>
      </w:r>
      <w:r>
        <w:rPr>
          <w:rFonts w:ascii="Open Sans" w:eastAsia="Open Sans" w:hAnsi="Open Sans" w:cs="Open Sans"/>
          <w:b/>
          <w:bCs/>
          <w:sz w:val="22"/>
          <w:szCs w:val="22"/>
        </w:rPr>
        <w:t>millones de personas con su próximo hogar</w:t>
      </w:r>
      <w:r>
        <w:rPr>
          <w:rFonts w:ascii="Open Sans" w:eastAsia="Open Sans" w:hAnsi="Open Sans" w:cs="Open Sans"/>
          <w:sz w:val="22"/>
          <w:szCs w:val="22"/>
        </w:rPr>
        <w:t>, ofreciendo la mayor oferta de viviendas de segunda mano, obra nueva, alquiler y compraventa, junto con análisis y contenidos que la consolidan como un auténtico </w:t>
      </w:r>
      <w:r>
        <w:rPr>
          <w:rFonts w:ascii="Open Sans" w:eastAsia="Open Sans" w:hAnsi="Open Sans" w:cs="Open Sans"/>
          <w:b/>
          <w:bCs/>
          <w:sz w:val="22"/>
          <w:szCs w:val="22"/>
        </w:rPr>
        <w:t>referente del mercado inmobiliario</w:t>
      </w:r>
      <w:r>
        <w:rPr>
          <w:rFonts w:ascii="Open Sans" w:eastAsia="Open Sans" w:hAnsi="Open Sans" w:cs="Open Sans"/>
          <w:sz w:val="22"/>
          <w:szCs w:val="22"/>
        </w:rPr>
        <w:t>.</w:t>
      </w:r>
    </w:p>
    <w:p w14:paraId="53CC7CDE" w14:textId="77777777" w:rsidR="00EF3883" w:rsidRDefault="00000000" w:rsidP="00C57573">
      <w:pPr>
        <w:spacing w:line="276" w:lineRule="auto"/>
        <w:jc w:val="both"/>
        <w:rPr>
          <w:rFonts w:ascii="Open Sans" w:eastAsia="Open Sans" w:hAnsi="Open Sans" w:cs="Open Sans"/>
          <w:sz w:val="22"/>
          <w:szCs w:val="22"/>
        </w:rPr>
      </w:pPr>
      <w:r>
        <w:rPr>
          <w:rFonts w:ascii="Open Sans" w:eastAsia="Open Sans" w:hAnsi="Open Sans" w:cs="Open Sans"/>
          <w:b/>
          <w:bCs/>
          <w:sz w:val="22"/>
          <w:szCs w:val="22"/>
        </w:rPr>
        <w:t>Fotocasa Group forma parte de Scout24</w:t>
      </w:r>
      <w:r>
        <w:rPr>
          <w:rFonts w:ascii="Open Sans" w:eastAsia="Open Sans" w:hAnsi="Open Sans" w:cs="Open Sans"/>
          <w:sz w:val="22"/>
          <w:szCs w:val="22"/>
        </w:rPr>
        <w:t xml:space="preserve">, el grupo tecnológico alemán líder en Europa que opera </w:t>
      </w:r>
      <w:r>
        <w:rPr>
          <w:rFonts w:ascii="Open Sans" w:eastAsia="Open Sans" w:hAnsi="Open Sans" w:cs="Open Sans"/>
          <w:b/>
          <w:bCs/>
          <w:sz w:val="22"/>
          <w:szCs w:val="22"/>
        </w:rPr>
        <w:t>ImmoScout24</w:t>
      </w:r>
      <w:r>
        <w:rPr>
          <w:rFonts w:ascii="Open Sans" w:eastAsia="Open Sans" w:hAnsi="Open Sans" w:cs="Open Sans"/>
          <w:sz w:val="22"/>
          <w:szCs w:val="22"/>
        </w:rPr>
        <w:t xml:space="preserve">. </w:t>
      </w:r>
    </w:p>
    <w:p w14:paraId="66DF2C95" w14:textId="77777777" w:rsidR="00EF3883" w:rsidRDefault="00EF3883" w:rsidP="00C57573">
      <w:pPr>
        <w:spacing w:line="276" w:lineRule="auto"/>
        <w:jc w:val="both"/>
        <w:rPr>
          <w:rFonts w:ascii="Open Sans" w:eastAsia="Open Sans" w:hAnsi="Open Sans" w:cs="Open Sans"/>
          <w:sz w:val="22"/>
          <w:szCs w:val="22"/>
        </w:rPr>
      </w:pPr>
    </w:p>
    <w:p w14:paraId="1ABE4B77" w14:textId="77777777" w:rsidR="00EF3883" w:rsidRDefault="00000000" w:rsidP="00C57573">
      <w:pPr>
        <w:spacing w:line="276" w:lineRule="auto"/>
        <w:jc w:val="right"/>
        <w:rPr>
          <w:rFonts w:ascii="Open Sans Light" w:eastAsia="Open Sans Light" w:hAnsi="Open Sans Light" w:cs="Open Sans Light"/>
          <w:b/>
          <w:bCs/>
          <w:color w:val="303AB2"/>
        </w:rPr>
      </w:pPr>
      <w:r>
        <w:rPr>
          <w:rFonts w:ascii="Open Sans Light" w:eastAsia="Open Sans Light" w:hAnsi="Open Sans Light" w:cs="Open Sans Light"/>
          <w:b/>
          <w:bCs/>
          <w:color w:val="303AB2"/>
        </w:rPr>
        <w:t>Sobre Scout24</w:t>
      </w:r>
    </w:p>
    <w:p w14:paraId="1161C6F6" w14:textId="77777777" w:rsidR="00EF3883" w:rsidRDefault="00EF3883" w:rsidP="00C57573">
      <w:pPr>
        <w:pBdr>
          <w:top w:val="nil"/>
          <w:left w:val="nil"/>
          <w:bottom w:val="nil"/>
          <w:right w:val="nil"/>
          <w:between w:val="nil"/>
        </w:pBdr>
        <w:spacing w:line="276" w:lineRule="auto"/>
        <w:jc w:val="both"/>
        <w:rPr>
          <w:rFonts w:ascii="Open Sans" w:eastAsia="Open Sans" w:hAnsi="Open Sans" w:cs="Open Sans"/>
          <w:sz w:val="22"/>
          <w:szCs w:val="22"/>
        </w:rPr>
      </w:pPr>
    </w:p>
    <w:p w14:paraId="6F1A7DB7" w14:textId="77777777" w:rsidR="00EF3883" w:rsidRDefault="00000000" w:rsidP="00C57573">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b/>
          <w:bCs/>
          <w:sz w:val="22"/>
          <w:szCs w:val="22"/>
        </w:rPr>
        <w:t>Scout24 es una de las empresas tecnológicas líderes en Alemania</w:t>
      </w:r>
      <w:r>
        <w:rPr>
          <w:rFonts w:ascii="Open Sans" w:eastAsia="Open Sans" w:hAnsi="Open Sans" w:cs="Open Sans"/>
          <w:sz w:val="22"/>
          <w:szCs w:val="22"/>
        </w:rPr>
        <w:t xml:space="preserve">. Con el marketplace </w:t>
      </w:r>
      <w:hyperlink r:id="rId20">
        <w:r w:rsidR="00EF3883">
          <w:rPr>
            <w:rFonts w:ascii="Open Sans" w:eastAsia="Open Sans" w:hAnsi="Open Sans" w:cs="Open Sans"/>
            <w:color w:val="0000FF"/>
            <w:sz w:val="22"/>
            <w:szCs w:val="22"/>
            <w:u w:val="single"/>
          </w:rPr>
          <w:t>ImmoScout24</w:t>
        </w:r>
      </w:hyperlink>
      <w:r>
        <w:rPr>
          <w:rFonts w:ascii="Open Sans" w:eastAsia="Open Sans" w:hAnsi="Open Sans" w:cs="Open Sans"/>
          <w:sz w:val="22"/>
          <w:szCs w:val="22"/>
        </w:rPr>
        <w:t xml:space="preserve">, especializado en el sector residencial y comercial, conectamos con éxito a propietarios, agentes inmobiliarios, inquilinos y compradores desde hace más de 25 años. </w:t>
      </w:r>
    </w:p>
    <w:p w14:paraId="6655D814" w14:textId="77777777" w:rsidR="00EF3883" w:rsidRDefault="00EF3883" w:rsidP="00C57573">
      <w:pPr>
        <w:pBdr>
          <w:top w:val="nil"/>
          <w:left w:val="nil"/>
          <w:bottom w:val="nil"/>
          <w:right w:val="nil"/>
          <w:between w:val="nil"/>
        </w:pBdr>
        <w:spacing w:line="276" w:lineRule="auto"/>
        <w:jc w:val="both"/>
        <w:rPr>
          <w:rFonts w:ascii="Open Sans" w:eastAsia="Open Sans" w:hAnsi="Open Sans" w:cs="Open Sans"/>
          <w:sz w:val="22"/>
          <w:szCs w:val="22"/>
        </w:rPr>
      </w:pPr>
    </w:p>
    <w:p w14:paraId="064F6830" w14:textId="77777777" w:rsidR="00EF3883" w:rsidRDefault="00000000" w:rsidP="00C57573">
      <w:p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Con aproximadamente 19 millones de usuarios al mes en su web o aplicación, </w:t>
      </w:r>
      <w:r>
        <w:rPr>
          <w:rFonts w:ascii="Open Sans" w:eastAsia="Open Sans" w:hAnsi="Open Sans" w:cs="Open Sans"/>
          <w:b/>
          <w:bCs/>
          <w:sz w:val="22"/>
          <w:szCs w:val="22"/>
        </w:rPr>
        <w:t>ImmoScout24 es el líder del mercado en listados y búsqueda inmobiliaria digital</w:t>
      </w:r>
      <w:r>
        <w:rPr>
          <w:rFonts w:ascii="Open Sans" w:eastAsia="Open Sans" w:hAnsi="Open Sans" w:cs="Open Sans"/>
          <w:sz w:val="22"/>
          <w:szCs w:val="22"/>
        </w:rPr>
        <w:t>. Para digitalizar el proceso de las transacciones inmobiliarias, ImmoScout24 desarrolla continuamente nuevos productos y construye un ecosistema conectado y rico en datos para el alquiler, la compra y el sector inmobiliario comercial en Alemania y Austria. Scout24 es una sociedad anónima que cotiza en bolsa (ISIN: DE000A12DM80, Ticker: G24) y miembro del DAX, así como del DAX 50 ESG y el DAX 50 ESG+.</w:t>
      </w:r>
    </w:p>
    <w:p w14:paraId="2F5CA2A6" w14:textId="77777777" w:rsidR="00EF3883" w:rsidRDefault="00EF3883" w:rsidP="00C57573">
      <w:pPr>
        <w:spacing w:line="276" w:lineRule="auto"/>
        <w:rPr>
          <w:rFonts w:ascii="Open Sans" w:eastAsia="Open Sans" w:hAnsi="Open Sans" w:cs="Open Sans"/>
        </w:rPr>
      </w:pPr>
    </w:p>
    <w:p w14:paraId="0FD89067" w14:textId="77777777" w:rsidR="00EF3883" w:rsidRDefault="00EF3883" w:rsidP="00C57573">
      <w:pPr>
        <w:spacing w:line="276" w:lineRule="auto"/>
        <w:rPr>
          <w:rFonts w:ascii="Open Sans Light" w:eastAsia="Open Sans Light" w:hAnsi="Open Sans Light" w:cs="Open Sans Light"/>
          <w:b/>
          <w:bCs/>
          <w:color w:val="303AB2"/>
          <w:sz w:val="22"/>
          <w:szCs w:val="22"/>
        </w:rPr>
      </w:pPr>
    </w:p>
    <w:p w14:paraId="02286795" w14:textId="77777777" w:rsidR="00EF3883" w:rsidRDefault="00000000" w:rsidP="00C57573">
      <w:pPr>
        <w:spacing w:line="276" w:lineRule="auto"/>
        <w:rPr>
          <w:rFonts w:ascii="Open Sans Light" w:eastAsia="Open Sans Light" w:hAnsi="Open Sans Light" w:cs="Open Sans Light"/>
          <w:b/>
          <w:bCs/>
          <w:color w:val="303AB2"/>
          <w:sz w:val="22"/>
          <w:szCs w:val="22"/>
        </w:rPr>
      </w:pPr>
      <w:r>
        <w:rPr>
          <w:rFonts w:ascii="Open Sans Light" w:eastAsia="Open Sans Light" w:hAnsi="Open Sans Light" w:cs="Open Sans Light"/>
          <w:b/>
          <w:bCs/>
          <w:color w:val="303AB2"/>
          <w:sz w:val="22"/>
          <w:szCs w:val="22"/>
        </w:rPr>
        <w:t>Departamento Comunicación Fotocasa</w:t>
      </w:r>
    </w:p>
    <w:p w14:paraId="631A8064" w14:textId="77777777" w:rsidR="00EF3883" w:rsidRDefault="00000000" w:rsidP="00C57573">
      <w:pPr>
        <w:shd w:val="clear" w:color="auto" w:fill="FFFFFF"/>
        <w:spacing w:line="276" w:lineRule="auto"/>
        <w:rPr>
          <w:rFonts w:ascii="Open Sans" w:eastAsia="Open Sans" w:hAnsi="Open Sans" w:cs="Open Sans"/>
          <w:b/>
          <w:bCs/>
          <w:color w:val="000000"/>
          <w:sz w:val="22"/>
          <w:szCs w:val="22"/>
        </w:rPr>
      </w:pPr>
      <w:r>
        <w:rPr>
          <w:rFonts w:ascii="Open Sans" w:eastAsia="Open Sans" w:hAnsi="Open Sans" w:cs="Open Sans"/>
          <w:b/>
          <w:bCs/>
          <w:color w:val="000000"/>
          <w:sz w:val="22"/>
          <w:szCs w:val="22"/>
        </w:rPr>
        <w:t>Anaïs García</w:t>
      </w:r>
    </w:p>
    <w:p w14:paraId="0ABC5E31" w14:textId="77777777" w:rsidR="00EF3883" w:rsidRDefault="00EF3883" w:rsidP="00C57573">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77762A74" w14:textId="77777777" w:rsidR="00EF3883" w:rsidRDefault="00000000" w:rsidP="00C57573">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B47AE3D" w14:textId="77777777" w:rsidR="00EF3883" w:rsidRDefault="00EF3883">
      <w:pPr>
        <w:spacing w:line="276" w:lineRule="auto"/>
        <w:jc w:val="right"/>
        <w:rPr>
          <w:rFonts w:ascii="Open Sans" w:eastAsia="Open Sans" w:hAnsi="Open Sans" w:cs="Open Sans"/>
          <w:color w:val="000000"/>
          <w:sz w:val="22"/>
          <w:szCs w:val="22"/>
        </w:rPr>
      </w:pPr>
    </w:p>
    <w:sectPr w:rsidR="00EF3883">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19802" w14:textId="77777777" w:rsidR="00E83EC4" w:rsidRDefault="00E83EC4">
      <w:r>
        <w:separator/>
      </w:r>
    </w:p>
  </w:endnote>
  <w:endnote w:type="continuationSeparator" w:id="0">
    <w:p w14:paraId="671F211B" w14:textId="77777777" w:rsidR="00E83EC4" w:rsidRDefault="00E8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C67EDF-0FB8-4E6F-B507-1110E2B59B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963E42E-5F68-4C52-B26B-D6D3D76BD67C}"/>
    <w:embedBold r:id="rId3" w:fontKey="{8A65F9CF-769F-4E9B-97E7-F2E1B165D51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103CC98-2C37-42F7-8AA8-D047F2AE53C7}"/>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Bold r:id="rId5" w:fontKey="{0A7B8F41-5188-41B5-9CDE-81658157D3B0}"/>
  </w:font>
  <w:font w:name="Open Sans">
    <w:charset w:val="00"/>
    <w:family w:val="swiss"/>
    <w:pitch w:val="variable"/>
    <w:sig w:usb0="E00002EF" w:usb1="4000205B" w:usb2="00000028" w:usb3="00000000" w:csb0="0000019F" w:csb1="00000000"/>
    <w:embedRegular r:id="rId6" w:fontKey="{AC90F4F8-B86B-4F55-B9F1-0BD4C64E1A04}"/>
    <w:embedBold r:id="rId7" w:fontKey="{E934CE00-FC2B-46E1-BCBA-50756090EB02}"/>
  </w:font>
  <w:font w:name="Cambria">
    <w:panose1 w:val="02040503050406030204"/>
    <w:charset w:val="00"/>
    <w:family w:val="roman"/>
    <w:pitch w:val="variable"/>
    <w:sig w:usb0="E00006FF" w:usb1="420024FF" w:usb2="02000000" w:usb3="00000000" w:csb0="0000019F" w:csb1="00000000"/>
    <w:embedRegular r:id="rId8" w:fontKey="{4BC7BED8-28F4-4D35-B078-CA3D196D7C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396D6" w14:textId="77777777" w:rsidR="00EF3883"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80B8B8E" wp14:editId="3DF57B69">
          <wp:simplePos x="0" y="0"/>
          <wp:positionH relativeFrom="column">
            <wp:posOffset>-1068040</wp:posOffset>
          </wp:positionH>
          <wp:positionV relativeFrom="paragraph">
            <wp:posOffset>174608</wp:posOffset>
          </wp:positionV>
          <wp:extent cx="7670550" cy="45131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F52701" w14:textId="77777777" w:rsidR="00E83EC4" w:rsidRDefault="00E83EC4">
      <w:r>
        <w:separator/>
      </w:r>
    </w:p>
  </w:footnote>
  <w:footnote w:type="continuationSeparator" w:id="0">
    <w:p w14:paraId="733ACA73" w14:textId="77777777" w:rsidR="00E83EC4" w:rsidRDefault="00E83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9B2EF7"/>
    <w:multiLevelType w:val="multilevel"/>
    <w:tmpl w:val="9DBE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81545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883"/>
    <w:rsid w:val="00107F28"/>
    <w:rsid w:val="004E62AB"/>
    <w:rsid w:val="00606058"/>
    <w:rsid w:val="007D15EC"/>
    <w:rsid w:val="00C57573"/>
    <w:rsid w:val="00E83EC4"/>
    <w:rsid w:val="00EF3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2A578"/>
  <w15:docId w15:val="{95BA3EF5-C146-40F2-8DAC-5C637320F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a-Lat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rPr>
      <w:sz w:val="22"/>
      <w:szCs w:val="22"/>
    </w:rPr>
    <w:tblPr>
      <w:tblStyleRowBandSize w:val="1"/>
      <w:tblStyleColBandSize w:val="1"/>
      <w:tblCellMar>
        <w:top w:w="0" w:type="dxa"/>
        <w:left w:w="108" w:type="dxa"/>
        <w:bottom w:w="0" w:type="dxa"/>
        <w:right w:w="108" w:type="dxa"/>
      </w:tblCellMar>
    </w:tblPr>
    <w:tblStylePr w:type="firstRow">
      <w:rPr>
        <w:b/>
        <w:bCs/>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bCs/>
      </w:rPr>
      <w:tblPr/>
      <w:tcPr>
        <w:tcBorders>
          <w:top w:val="single" w:sz="4" w:space="0" w:color="39D9CD"/>
        </w:tcBorders>
      </w:tcPr>
    </w:tblStylePr>
    <w:tblStylePr w:type="firstCol">
      <w:rPr>
        <w:b/>
        <w:bCs/>
      </w:rPr>
    </w:tblStylePr>
    <w:tblStylePr w:type="lastCol">
      <w:rPr>
        <w:b/>
        <w:bCs/>
      </w:rPr>
    </w:tblStylePr>
    <w:tblStylePr w:type="band1Vert">
      <w:tblPr/>
      <w:tcPr>
        <w:shd w:val="clear" w:color="auto" w:fill="D7F7F4"/>
      </w:tcPr>
    </w:tblStylePr>
    <w:tblStylePr w:type="band1Horz">
      <w:tblPr/>
      <w:tcPr>
        <w:shd w:val="clear" w:color="auto" w:fill="D7F7F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get.witei.com/en/"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research.fotocasa.es" TargetMode="External"/><Relationship Id="rId17" Type="http://schemas.openxmlformats.org/officeDocument/2006/relationships/hyperlink" Target="https://datavenues.com/" TargetMode="External"/><Relationship Id="rId2" Type="http://schemas.openxmlformats.org/officeDocument/2006/relationships/numbering" Target="numbering.xml"/><Relationship Id="rId16" Type="http://schemas.openxmlformats.org/officeDocument/2006/relationships/hyperlink" Target="https://profesionales.fotocasa.es/" TargetMode="External"/><Relationship Id="rId20" Type="http://schemas.openxmlformats.org/officeDocument/2006/relationships/hyperlink" Target="https://www.immobilienscout24.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indic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fontTable" Target="fontTable.xml"/><Relationship Id="rId10" Type="http://schemas.openxmlformats.org/officeDocument/2006/relationships/hyperlink" Target="https://www.fotocasa.es" TargetMode="External"/><Relationship Id="rId19" Type="http://schemas.openxmlformats.org/officeDocument/2006/relationships/hyperlink" Target="https://www.inmoweb.es/"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hyperlink" Target="https://www.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esaqjsi19DiXYKRmNVcAqEyT+g==">CgMxLjA4AHIhMV9IUkNvTDZ2VHZCdlVVc2NXS3JPN1FpVDNGdEFWQl9v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1410</Words>
  <Characters>8038</Characters>
  <Application>Microsoft Office Word</Application>
  <DocSecurity>0</DocSecurity>
  <Lines>66</Lines>
  <Paragraphs>18</Paragraphs>
  <ScaleCrop>false</ScaleCrop>
  <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Anais Garcia Lopez</cp:lastModifiedBy>
  <cp:revision>3</cp:revision>
  <dcterms:created xsi:type="dcterms:W3CDTF">2026-07-04T13:33:00Z</dcterms:created>
  <dcterms:modified xsi:type="dcterms:W3CDTF">2026-07-04T13:40:00Z</dcterms:modified>
</cp:coreProperties>
</file>