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87B65" w14:textId="77777777" w:rsidR="004861A7" w:rsidRDefault="00000000">
      <w:r>
        <w:rPr>
          <w:noProof/>
        </w:rPr>
        <w:drawing>
          <wp:anchor distT="0" distB="0" distL="114300" distR="114300" simplePos="0" relativeHeight="251658240" behindDoc="0" locked="0" layoutInCell="1" hidden="0" allowOverlap="1" wp14:anchorId="40F361B2" wp14:editId="53F7D137">
            <wp:simplePos x="0" y="0"/>
            <wp:positionH relativeFrom="column">
              <wp:posOffset>-1080116</wp:posOffset>
            </wp:positionH>
            <wp:positionV relativeFrom="paragraph">
              <wp:posOffset>-654665</wp:posOffset>
            </wp:positionV>
            <wp:extent cx="7581265" cy="1019175"/>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7581265" cy="1019175"/>
                    </a:xfrm>
                    <a:prstGeom prst="rect">
                      <a:avLst/>
                    </a:prstGeom>
                    <a:ln/>
                  </pic:spPr>
                </pic:pic>
              </a:graphicData>
            </a:graphic>
          </wp:anchor>
        </w:drawing>
      </w:r>
    </w:p>
    <w:p w14:paraId="1B5294FB" w14:textId="77777777" w:rsidR="004861A7" w:rsidRDefault="004861A7">
      <w:pPr>
        <w:jc w:val="right"/>
        <w:rPr>
          <w:rFonts w:ascii="National" w:eastAsia="National" w:hAnsi="National" w:cs="National"/>
          <w:color w:val="303AB2"/>
          <w:sz w:val="36"/>
          <w:szCs w:val="36"/>
        </w:rPr>
      </w:pPr>
    </w:p>
    <w:p w14:paraId="4A2A1901" w14:textId="77777777" w:rsidR="004861A7" w:rsidRDefault="004861A7">
      <w:pPr>
        <w:rPr>
          <w:rFonts w:ascii="National" w:eastAsia="National" w:hAnsi="National" w:cs="National"/>
          <w:color w:val="303AB2"/>
          <w:sz w:val="18"/>
          <w:szCs w:val="18"/>
        </w:rPr>
      </w:pPr>
    </w:p>
    <w:p w14:paraId="4C0E2191" w14:textId="77777777" w:rsidR="004861A7" w:rsidRDefault="00000000">
      <w:pPr>
        <w:pBdr>
          <w:top w:val="nil"/>
          <w:left w:val="nil"/>
          <w:bottom w:val="nil"/>
          <w:right w:val="nil"/>
          <w:between w:val="nil"/>
        </w:pBdr>
        <w:spacing w:line="276" w:lineRule="auto"/>
        <w:jc w:val="center"/>
        <w:rPr>
          <w:rFonts w:ascii="National" w:eastAsia="National" w:hAnsi="National" w:cs="National"/>
          <w:b/>
          <w:bCs/>
          <w:color w:val="1DBDC5"/>
          <w:sz w:val="34"/>
          <w:szCs w:val="34"/>
        </w:rPr>
      </w:pPr>
      <w:r>
        <w:rPr>
          <w:rFonts w:ascii="National" w:eastAsia="National" w:hAnsi="National" w:cs="National"/>
          <w:b/>
          <w:bCs/>
          <w:color w:val="1DBDC5"/>
          <w:sz w:val="34"/>
          <w:szCs w:val="34"/>
        </w:rPr>
        <w:t>TENDENCIAS DEL MERCADO DE LA VIVIENDA</w:t>
      </w:r>
    </w:p>
    <w:p w14:paraId="552A8839" w14:textId="77777777" w:rsidR="004861A7" w:rsidRDefault="00000000">
      <w:pPr>
        <w:pBdr>
          <w:top w:val="nil"/>
          <w:left w:val="nil"/>
          <w:bottom w:val="nil"/>
          <w:right w:val="nil"/>
          <w:between w:val="nil"/>
        </w:pBdr>
        <w:spacing w:line="276" w:lineRule="auto"/>
        <w:jc w:val="center"/>
        <w:rPr>
          <w:rFonts w:ascii="National" w:eastAsia="National" w:hAnsi="National" w:cs="National"/>
          <w:b/>
          <w:bCs/>
          <w:color w:val="303AB2"/>
          <w:sz w:val="46"/>
          <w:szCs w:val="46"/>
        </w:rPr>
      </w:pPr>
      <w:r>
        <w:rPr>
          <w:rFonts w:ascii="National" w:eastAsia="National" w:hAnsi="National" w:cs="National"/>
          <w:b/>
          <w:bCs/>
          <w:color w:val="303AB2"/>
          <w:sz w:val="46"/>
          <w:szCs w:val="46"/>
        </w:rPr>
        <w:t>La España Vaciada vuelve a llenarse: el 23% de los jóvenes planea mudarse a un pueblo</w:t>
      </w:r>
    </w:p>
    <w:p w14:paraId="5BB8D6A9" w14:textId="77777777" w:rsidR="004861A7" w:rsidRDefault="004861A7">
      <w:pPr>
        <w:pBdr>
          <w:top w:val="nil"/>
          <w:left w:val="nil"/>
          <w:bottom w:val="nil"/>
          <w:right w:val="nil"/>
          <w:between w:val="nil"/>
        </w:pBdr>
        <w:spacing w:line="276" w:lineRule="auto"/>
        <w:jc w:val="center"/>
        <w:rPr>
          <w:rFonts w:ascii="Open Sans Light" w:eastAsia="Open Sans Light" w:hAnsi="Open Sans Light" w:cs="Open Sans Light"/>
          <w:b/>
          <w:bCs/>
          <w:color w:val="303AB2"/>
        </w:rPr>
      </w:pPr>
    </w:p>
    <w:p w14:paraId="5D0FF712" w14:textId="77777777" w:rsidR="004861A7" w:rsidRDefault="00000000">
      <w:pPr>
        <w:numPr>
          <w:ilvl w:val="0"/>
          <w:numId w:val="1"/>
        </w:numPr>
        <w:pBdr>
          <w:top w:val="nil"/>
          <w:left w:val="nil"/>
          <w:bottom w:val="nil"/>
          <w:right w:val="nil"/>
          <w:between w:val="nil"/>
        </w:pBdr>
        <w:spacing w:line="276" w:lineRule="auto"/>
        <w:jc w:val="both"/>
        <w:rPr>
          <w:rFonts w:ascii="Open Sans Light" w:eastAsia="Open Sans Light" w:hAnsi="Open Sans Light" w:cs="Open Sans Light"/>
          <w:b/>
          <w:bCs/>
          <w:color w:val="303AB2"/>
        </w:rPr>
      </w:pPr>
      <w:r>
        <w:rPr>
          <w:rFonts w:ascii="Open Sans Light" w:eastAsia="Open Sans Light" w:hAnsi="Open Sans Light" w:cs="Open Sans Light"/>
          <w:b/>
          <w:bCs/>
          <w:color w:val="303AB2"/>
        </w:rPr>
        <w:t>En total, al 70% de los españoles menores de 25 años les atrae la idea o bien se trasladarán directamente a vivir a un entorno rural en los próximos meses</w:t>
      </w:r>
    </w:p>
    <w:p w14:paraId="48865A09" w14:textId="77777777" w:rsidR="004861A7" w:rsidRDefault="00000000">
      <w:pPr>
        <w:numPr>
          <w:ilvl w:val="0"/>
          <w:numId w:val="1"/>
        </w:numPr>
        <w:pBdr>
          <w:top w:val="nil"/>
          <w:left w:val="nil"/>
          <w:bottom w:val="nil"/>
          <w:right w:val="nil"/>
          <w:between w:val="nil"/>
        </w:pBdr>
        <w:spacing w:line="276" w:lineRule="auto"/>
        <w:jc w:val="both"/>
        <w:rPr>
          <w:rFonts w:ascii="Open Sans Light" w:eastAsia="Open Sans Light" w:hAnsi="Open Sans Light" w:cs="Open Sans Light"/>
          <w:b/>
          <w:bCs/>
          <w:color w:val="303AB2"/>
        </w:rPr>
      </w:pPr>
      <w:r>
        <w:rPr>
          <w:rFonts w:ascii="Open Sans Light" w:eastAsia="Open Sans Light" w:hAnsi="Open Sans Light" w:cs="Open Sans Light"/>
          <w:b/>
          <w:bCs/>
          <w:color w:val="303AB2"/>
        </w:rPr>
        <w:t>El 13% de los demandantes de vivienda prevé mudarse a una localidad de menos de 10.000 habitantes a corto plazo, dos puntos más que hace un año</w:t>
      </w:r>
    </w:p>
    <w:p w14:paraId="6538E5B5" w14:textId="77777777" w:rsidR="004861A7" w:rsidRDefault="00000000">
      <w:pPr>
        <w:numPr>
          <w:ilvl w:val="0"/>
          <w:numId w:val="1"/>
        </w:numPr>
        <w:pBdr>
          <w:top w:val="nil"/>
          <w:left w:val="nil"/>
          <w:bottom w:val="nil"/>
          <w:right w:val="nil"/>
          <w:between w:val="nil"/>
        </w:pBdr>
        <w:spacing w:line="276" w:lineRule="auto"/>
        <w:jc w:val="both"/>
        <w:rPr>
          <w:rFonts w:ascii="Open Sans Light" w:eastAsia="Open Sans Light" w:hAnsi="Open Sans Light" w:cs="Open Sans Light"/>
          <w:b/>
          <w:bCs/>
          <w:color w:val="303AB2"/>
        </w:rPr>
      </w:pPr>
      <w:r>
        <w:rPr>
          <w:rFonts w:ascii="Open Sans Light" w:eastAsia="Open Sans Light" w:hAnsi="Open Sans Light" w:cs="Open Sans Light"/>
          <w:b/>
          <w:bCs/>
          <w:color w:val="303AB2"/>
        </w:rPr>
        <w:t>Madrid es la comunidad donde más se dispara la intención de abandonar la ciudad para instalarse en un pueblo</w:t>
      </w:r>
    </w:p>
    <w:p w14:paraId="52D133CF" w14:textId="77777777" w:rsidR="004861A7" w:rsidRDefault="004861A7">
      <w:pPr>
        <w:pBdr>
          <w:top w:val="nil"/>
          <w:left w:val="nil"/>
          <w:bottom w:val="nil"/>
          <w:right w:val="nil"/>
          <w:between w:val="nil"/>
        </w:pBdr>
        <w:tabs>
          <w:tab w:val="left" w:pos="6589"/>
        </w:tabs>
        <w:spacing w:line="276" w:lineRule="auto"/>
        <w:jc w:val="both"/>
        <w:rPr>
          <w:rFonts w:ascii="Open Sans Light" w:eastAsia="Open Sans Light" w:hAnsi="Open Sans Light" w:cs="Open Sans Light"/>
          <w:b/>
          <w:bCs/>
          <w:color w:val="303AB2"/>
        </w:rPr>
      </w:pPr>
    </w:p>
    <w:p w14:paraId="3EBD6AFC" w14:textId="77777777" w:rsidR="004861A7" w:rsidRDefault="00000000">
      <w:pPr>
        <w:pBdr>
          <w:top w:val="nil"/>
          <w:left w:val="nil"/>
          <w:bottom w:val="nil"/>
          <w:right w:val="nil"/>
          <w:between w:val="nil"/>
        </w:pBdr>
        <w:tabs>
          <w:tab w:val="left" w:pos="6589"/>
        </w:tabs>
        <w:spacing w:line="276" w:lineRule="auto"/>
        <w:jc w:val="both"/>
        <w:rPr>
          <w:rFonts w:ascii="Open Sans Light" w:eastAsia="Open Sans Light" w:hAnsi="Open Sans Light" w:cs="Open Sans Light"/>
          <w:b/>
          <w:bCs/>
          <w:color w:val="303AB2"/>
        </w:rPr>
      </w:pPr>
      <w:r>
        <w:rPr>
          <w:rFonts w:ascii="Open Sans Light" w:eastAsia="Open Sans Light" w:hAnsi="Open Sans Light" w:cs="Open Sans Light"/>
          <w:b/>
          <w:bCs/>
          <w:color w:val="303AB2"/>
        </w:rPr>
        <w:t>Madrid, 3 de agosto de 2026</w:t>
      </w:r>
      <w:r>
        <w:rPr>
          <w:rFonts w:ascii="Open Sans Light" w:eastAsia="Open Sans Light" w:hAnsi="Open Sans Light" w:cs="Open Sans Light"/>
          <w:b/>
          <w:bCs/>
          <w:color w:val="303AB2"/>
        </w:rPr>
        <w:tab/>
      </w:r>
    </w:p>
    <w:p w14:paraId="03BE16C6" w14:textId="77777777" w:rsidR="004861A7" w:rsidRDefault="004861A7">
      <w:pPr>
        <w:pBdr>
          <w:top w:val="nil"/>
          <w:left w:val="nil"/>
          <w:bottom w:val="nil"/>
          <w:right w:val="nil"/>
          <w:between w:val="nil"/>
        </w:pBdr>
        <w:tabs>
          <w:tab w:val="left" w:pos="6589"/>
        </w:tabs>
        <w:spacing w:line="276" w:lineRule="auto"/>
        <w:jc w:val="both"/>
        <w:rPr>
          <w:rFonts w:ascii="Open Sans Light" w:eastAsia="Open Sans Light" w:hAnsi="Open Sans Light" w:cs="Open Sans Light"/>
          <w:b/>
          <w:bCs/>
          <w:color w:val="303AB2"/>
        </w:rPr>
      </w:pPr>
    </w:p>
    <w:p w14:paraId="2E7C5983" w14:textId="77777777" w:rsidR="004861A7" w:rsidRDefault="00000000">
      <w:pPr>
        <w:pBdr>
          <w:top w:val="nil"/>
          <w:left w:val="nil"/>
          <w:bottom w:val="nil"/>
          <w:right w:val="nil"/>
          <w:between w:val="nil"/>
        </w:pBdr>
        <w:spacing w:line="276" w:lineRule="auto"/>
        <w:jc w:val="both"/>
        <w:rPr>
          <w:rFonts w:ascii="Open Sans" w:eastAsia="Open Sans" w:hAnsi="Open Sans" w:cs="Open Sans"/>
        </w:rPr>
      </w:pPr>
      <w:r>
        <w:rPr>
          <w:rFonts w:ascii="Open Sans" w:eastAsia="Open Sans" w:hAnsi="Open Sans" w:cs="Open Sans"/>
        </w:rPr>
        <w:t xml:space="preserve">La España Vaciada podría estar más cerca de recuperar población. Tras décadas marcadas por el éxodo rural y la concentración de habitantes en las grandes ciudades, el elevado coste de la vivienda está impulsando un cambio de tendencia en las preferencias residenciales de los españoles. Actualmente, </w:t>
      </w:r>
      <w:r>
        <w:rPr>
          <w:rFonts w:ascii="Open Sans" w:eastAsia="Open Sans" w:hAnsi="Open Sans" w:cs="Open Sans"/>
          <w:b/>
          <w:bCs/>
        </w:rPr>
        <w:t>seis de cada diez particulares afirman que se mudarán a un pueblo o que les gustaría hacerlo, una aspiración que alcanza una intensidad especialmente elevada entre los más jóvenes</w:t>
      </w:r>
      <w:r>
        <w:rPr>
          <w:rFonts w:ascii="Open Sans" w:eastAsia="Open Sans" w:hAnsi="Open Sans" w:cs="Open Sans"/>
        </w:rPr>
        <w:t xml:space="preserve">: el 23% de quienes tienen entre 18 y 24 años prevé trasladarse a una localidad de menos de 10.000 habitantes en los próximos meses y siete de cada diez muestran interés por vivir en un entorno rural. Aunque para muchos este deseo sigue siendo difícil de materializar, el porcentaje de quienes ya han convertido esa aspiración en un proyecto real continúa creciendo, especialmente entre la población joven y los residentes en Madrid, lo que apunta a un renovado interés por los pueblos como alternativa residencial frente a las grandes ciudades, </w:t>
      </w:r>
      <w:r>
        <w:rPr>
          <w:rFonts w:ascii="Open Sans" w:eastAsia="Open Sans" w:hAnsi="Open Sans" w:cs="Open Sans"/>
          <w:b/>
          <w:bCs/>
        </w:rPr>
        <w:t xml:space="preserve">según los datos extraídos a partir de una encuesta de </w:t>
      </w:r>
      <w:hyperlink r:id="rId9">
        <w:r w:rsidR="004861A7">
          <w:rPr>
            <w:rFonts w:ascii="Open Sans" w:eastAsia="Open Sans" w:hAnsi="Open Sans" w:cs="Open Sans"/>
            <w:b/>
            <w:bCs/>
            <w:color w:val="0000FF"/>
            <w:u w:val="single"/>
          </w:rPr>
          <w:t>Fotocasa Research</w:t>
        </w:r>
      </w:hyperlink>
      <w:r>
        <w:rPr>
          <w:rFonts w:ascii="Open Sans" w:eastAsia="Open Sans" w:hAnsi="Open Sans" w:cs="Open Sans"/>
          <w:b/>
          <w:bCs/>
        </w:rPr>
        <w:t xml:space="preserve"> realizada en el primer semestre de 2026</w:t>
      </w:r>
      <w:r>
        <w:rPr>
          <w:rFonts w:ascii="Open Sans" w:eastAsia="Open Sans" w:hAnsi="Open Sans" w:cs="Open Sans"/>
        </w:rPr>
        <w:t>.</w:t>
      </w:r>
    </w:p>
    <w:p w14:paraId="7382B72D"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78BA2936" w14:textId="77777777" w:rsidR="004861A7" w:rsidRDefault="00000000">
      <w:pPr>
        <w:pBdr>
          <w:top w:val="nil"/>
          <w:left w:val="nil"/>
          <w:bottom w:val="nil"/>
          <w:right w:val="nil"/>
          <w:between w:val="nil"/>
        </w:pBdr>
        <w:spacing w:line="276" w:lineRule="auto"/>
        <w:jc w:val="both"/>
        <w:rPr>
          <w:rFonts w:ascii="Open Sans" w:eastAsia="Open Sans" w:hAnsi="Open Sans" w:cs="Open Sans"/>
          <w:b/>
          <w:bCs/>
        </w:rPr>
      </w:pPr>
      <w:r>
        <w:rPr>
          <w:rFonts w:ascii="Open Sans" w:eastAsia="Open Sans" w:hAnsi="Open Sans" w:cs="Open Sans"/>
        </w:rPr>
        <w:t xml:space="preserve">"El interés por vivir en un entorno rural ya no responde únicamente a una búsqueda de tranquilidad o calidad de vida. Estamos asistiendo a un cambio en las preferencias residenciales. La presión en los precios que soportan los mercados urbanos está llevando a muchos ciudadanos, especialmente a los </w:t>
      </w:r>
      <w:r>
        <w:rPr>
          <w:rFonts w:ascii="Open Sans" w:eastAsia="Open Sans" w:hAnsi="Open Sans" w:cs="Open Sans"/>
        </w:rPr>
        <w:lastRenderedPageBreak/>
        <w:t xml:space="preserve">jóvenes, a ampliar su horizonte residencial y contemplar los municipios rurales como una alternativa para desarrollar su proyecto de vida. Sin embargo, para que esta tendencia pueda consolidarse será imprescindible que vaya acompañada de empleo, servicios, conectividad e infraestructuras. El acceso a una vivienda más asequible puede actuar como detonante, pero la revitalización del medio rural dependerá de que existan las condiciones necesarias para fijar población de forma estable", </w:t>
      </w:r>
      <w:r>
        <w:rPr>
          <w:rFonts w:ascii="Open Sans" w:eastAsia="Open Sans" w:hAnsi="Open Sans" w:cs="Open Sans"/>
          <w:b/>
          <w:bCs/>
        </w:rPr>
        <w:t xml:space="preserve">explica María Matos, directora de Estudios y portavoz de </w:t>
      </w:r>
      <w:hyperlink r:id="rId10">
        <w:r w:rsidR="004861A7">
          <w:rPr>
            <w:rFonts w:ascii="Open Sans" w:eastAsia="Open Sans" w:hAnsi="Open Sans" w:cs="Open Sans"/>
            <w:b/>
            <w:bCs/>
            <w:color w:val="0000FF"/>
            <w:u w:val="single"/>
          </w:rPr>
          <w:t>Fotocasa</w:t>
        </w:r>
      </w:hyperlink>
      <w:r>
        <w:rPr>
          <w:rFonts w:ascii="Open Sans" w:eastAsia="Open Sans" w:hAnsi="Open Sans" w:cs="Open Sans"/>
          <w:b/>
          <w:bCs/>
        </w:rPr>
        <w:t>.</w:t>
      </w:r>
    </w:p>
    <w:p w14:paraId="18CC042A" w14:textId="77777777" w:rsidR="004861A7" w:rsidRDefault="004861A7">
      <w:pPr>
        <w:pBdr>
          <w:top w:val="nil"/>
          <w:left w:val="nil"/>
          <w:bottom w:val="nil"/>
          <w:right w:val="nil"/>
          <w:between w:val="nil"/>
        </w:pBdr>
        <w:spacing w:line="276" w:lineRule="auto"/>
        <w:jc w:val="both"/>
        <w:rPr>
          <w:rFonts w:ascii="Open Sans" w:eastAsia="Open Sans" w:hAnsi="Open Sans" w:cs="Open Sans"/>
          <w:b/>
          <w:bCs/>
        </w:rPr>
      </w:pPr>
    </w:p>
    <w:p w14:paraId="65C8895C" w14:textId="77777777" w:rsidR="004861A7" w:rsidRDefault="00000000">
      <w:pPr>
        <w:pBdr>
          <w:top w:val="nil"/>
          <w:left w:val="nil"/>
          <w:bottom w:val="nil"/>
          <w:right w:val="nil"/>
          <w:between w:val="nil"/>
        </w:pBdr>
        <w:spacing w:line="276" w:lineRule="auto"/>
        <w:jc w:val="both"/>
        <w:rPr>
          <w:rFonts w:ascii="Open Sans" w:eastAsia="Open Sans" w:hAnsi="Open Sans" w:cs="Open Sans"/>
        </w:rPr>
      </w:pPr>
      <w:r>
        <w:rPr>
          <w:rFonts w:ascii="Open Sans" w:eastAsia="Open Sans" w:hAnsi="Open Sans" w:cs="Open Sans"/>
          <w:b/>
          <w:bCs/>
        </w:rPr>
        <w:t>Si se analiza el conjunto de la población, seis de cada diez particulares se van a ir a vivir a un pueblo o les gustaría hacerlo</w:t>
      </w:r>
      <w:r>
        <w:rPr>
          <w:rFonts w:ascii="Open Sans" w:eastAsia="Open Sans" w:hAnsi="Open Sans" w:cs="Open Sans"/>
        </w:rPr>
        <w:t xml:space="preserve">. Este proyecto vital es especialmente frecuente entre los particulares de 18 a 44 años y, además, se consolida entre las personas que actualmente residen en Madrid. Hoy en día, España sufre una fuerte concentración de población en determinadas ciudades. De hecho, según datos de Eurostat, en 2025 solamente el 14% de la población española vivía en zonas rurales. Un dato que se sitúa a la cola de la Unión Europea, solamente por delante de Malta (3%) y Países Bajos (6%), once puntos por debajo de la media comunitaria y muy lejos de los países con mayor representatividad de personas residentes en pueblos como Irlanda (45%) o Eslovenia (43%). </w:t>
      </w:r>
    </w:p>
    <w:p w14:paraId="594A80E9"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1A405977" w14:textId="77777777" w:rsidR="004861A7" w:rsidRDefault="00000000">
      <w:pPr>
        <w:pBdr>
          <w:top w:val="nil"/>
          <w:left w:val="nil"/>
          <w:bottom w:val="nil"/>
          <w:right w:val="nil"/>
          <w:between w:val="nil"/>
        </w:pBdr>
        <w:spacing w:line="276" w:lineRule="auto"/>
        <w:jc w:val="center"/>
        <w:rPr>
          <w:rFonts w:ascii="National" w:eastAsia="National" w:hAnsi="National" w:cs="National"/>
          <w:color w:val="303AB2"/>
          <w:sz w:val="28"/>
          <w:szCs w:val="28"/>
        </w:rPr>
      </w:pPr>
      <w:r>
        <w:rPr>
          <w:rFonts w:ascii="National" w:eastAsia="National" w:hAnsi="National" w:cs="National"/>
          <w:color w:val="303AB2"/>
          <w:sz w:val="28"/>
          <w:szCs w:val="28"/>
        </w:rPr>
        <w:t>Demandantes de vivienda con intención de trasladarse a una zona rural</w:t>
      </w:r>
    </w:p>
    <w:p w14:paraId="31B4F682" w14:textId="3310EE6B" w:rsidR="004861A7" w:rsidRDefault="00276872">
      <w:pPr>
        <w:rPr>
          <w:rFonts w:ascii="Aptos" w:eastAsia="Aptos" w:hAnsi="Aptos" w:cs="Aptos"/>
        </w:rPr>
      </w:pPr>
      <w:r w:rsidRPr="00276872">
        <w:rPr>
          <w:rFonts w:ascii="Aptos" w:eastAsia="Aptos" w:hAnsi="Aptos" w:cs="Aptos"/>
        </w:rPr>
        <w:drawing>
          <wp:inline distT="0" distB="0" distL="0" distR="0" wp14:anchorId="2B975CD5" wp14:editId="22B64B3E">
            <wp:extent cx="5641145" cy="3810306"/>
            <wp:effectExtent l="0" t="0" r="0" b="0"/>
            <wp:docPr id="2101941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941680" name=""/>
                    <pic:cNvPicPr/>
                  </pic:nvPicPr>
                  <pic:blipFill>
                    <a:blip r:embed="rId11"/>
                    <a:stretch>
                      <a:fillRect/>
                    </a:stretch>
                  </pic:blipFill>
                  <pic:spPr>
                    <a:xfrm>
                      <a:off x="0" y="0"/>
                      <a:ext cx="5645920" cy="3813531"/>
                    </a:xfrm>
                    <a:prstGeom prst="rect">
                      <a:avLst/>
                    </a:prstGeom>
                  </pic:spPr>
                </pic:pic>
              </a:graphicData>
            </a:graphic>
          </wp:inline>
        </w:drawing>
      </w:r>
    </w:p>
    <w:p w14:paraId="17C5AB41" w14:textId="77777777" w:rsidR="004861A7" w:rsidRDefault="00000000">
      <w:pPr>
        <w:pBdr>
          <w:top w:val="nil"/>
          <w:left w:val="nil"/>
          <w:bottom w:val="nil"/>
          <w:right w:val="nil"/>
          <w:between w:val="nil"/>
        </w:pBdr>
        <w:spacing w:line="276" w:lineRule="auto"/>
        <w:jc w:val="both"/>
        <w:rPr>
          <w:rFonts w:ascii="Open Sans" w:eastAsia="Open Sans" w:hAnsi="Open Sans" w:cs="Open Sans"/>
        </w:rPr>
      </w:pPr>
      <w:r>
        <w:rPr>
          <w:rFonts w:ascii="National" w:eastAsia="National" w:hAnsi="National" w:cs="National"/>
          <w:b/>
          <w:bCs/>
          <w:color w:val="303AB2"/>
          <w:sz w:val="32"/>
          <w:szCs w:val="32"/>
        </w:rPr>
        <w:lastRenderedPageBreak/>
        <w:t>Repuntan los mayores de 18 años que se mudarán a un pueblo</w:t>
      </w:r>
    </w:p>
    <w:p w14:paraId="154799AF"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76DF8378" w14:textId="77777777" w:rsidR="004861A7" w:rsidRDefault="00000000">
      <w:pPr>
        <w:pBdr>
          <w:top w:val="nil"/>
          <w:left w:val="nil"/>
          <w:bottom w:val="nil"/>
          <w:right w:val="nil"/>
          <w:between w:val="nil"/>
        </w:pBdr>
        <w:spacing w:line="276" w:lineRule="auto"/>
        <w:jc w:val="both"/>
        <w:rPr>
          <w:rFonts w:ascii="Open Sans" w:eastAsia="Open Sans" w:hAnsi="Open Sans" w:cs="Open Sans"/>
        </w:rPr>
      </w:pPr>
      <w:r>
        <w:rPr>
          <w:rFonts w:ascii="Open Sans" w:eastAsia="Open Sans" w:hAnsi="Open Sans" w:cs="Open Sans"/>
        </w:rPr>
        <w:t xml:space="preserve">Al dividir a los demandantes de vivienda entre aquellos que se van a ir a vivir a una zona rural (entendiendo como tal a las localidades de menos de 10.000 habitantes), aquellos a los que les gustaría, pero no pueden, y los que no se sienten atraídos por esta idea, se puede apreciar que el grupo más numeroso lo conforman los que querrían hacerlo, pero no lo han planificado: son el 46%, cuatro puntos menos que hace un año (50 %). La pérdida de relevancia de este grupo, en parte, se explica por una mayor tasa de efectividad a la hora de ejecutar este cambio vital: </w:t>
      </w:r>
      <w:r>
        <w:rPr>
          <w:rFonts w:ascii="Open Sans" w:eastAsia="Open Sans" w:hAnsi="Open Sans" w:cs="Open Sans"/>
          <w:b/>
          <w:bCs/>
        </w:rPr>
        <w:t>crecen significativamente aquellos que sí prevén mudarse a un pueblo en los próximos meses. En 2026 representan al 13%, frente al 11% de 2025.</w:t>
      </w:r>
    </w:p>
    <w:p w14:paraId="77C39BEF"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26421E15" w14:textId="77777777" w:rsidR="004861A7" w:rsidRDefault="00000000">
      <w:pPr>
        <w:pBdr>
          <w:top w:val="nil"/>
          <w:left w:val="nil"/>
          <w:bottom w:val="nil"/>
          <w:right w:val="nil"/>
          <w:between w:val="nil"/>
        </w:pBdr>
        <w:spacing w:line="276" w:lineRule="auto"/>
        <w:jc w:val="both"/>
        <w:rPr>
          <w:rFonts w:ascii="Open Sans" w:eastAsia="Open Sans" w:hAnsi="Open Sans" w:cs="Open Sans"/>
        </w:rPr>
      </w:pPr>
      <w:r>
        <w:rPr>
          <w:rFonts w:ascii="Open Sans" w:eastAsia="Open Sans" w:hAnsi="Open Sans" w:cs="Open Sans"/>
        </w:rPr>
        <w:t xml:space="preserve">Este grupo se divide entre aquellos que van a teletrabajar desde su nueva vivienda, que son el 4%, igual que en 2025, y </w:t>
      </w:r>
      <w:r>
        <w:rPr>
          <w:rFonts w:ascii="Open Sans" w:eastAsia="Open Sans" w:hAnsi="Open Sans" w:cs="Open Sans"/>
          <w:b/>
          <w:bCs/>
        </w:rPr>
        <w:t>los que van a cambiar de trabajo para poder instalarse en una zona rural, que son el 9%, una cifra que aumenta de manera reseñable con respecto a 2025 y 2024, cuando eran el 7%</w:t>
      </w:r>
      <w:r>
        <w:rPr>
          <w:rFonts w:ascii="Open Sans" w:eastAsia="Open Sans" w:hAnsi="Open Sans" w:cs="Open Sans"/>
        </w:rPr>
        <w:t>. Al margen de todos ellos se encuentran los que afirman que no harían este cambio de lugar de residencia en ningún caso. Este grupo, que aglutina al 41% de los particulares, permanece estable en comparación con el año anterior.</w:t>
      </w:r>
    </w:p>
    <w:p w14:paraId="5188C1A7"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0679FC16" w14:textId="77777777" w:rsidR="004861A7" w:rsidRDefault="00000000">
      <w:pPr>
        <w:pBdr>
          <w:top w:val="nil"/>
          <w:left w:val="nil"/>
          <w:bottom w:val="nil"/>
          <w:right w:val="nil"/>
          <w:between w:val="nil"/>
        </w:pBdr>
        <w:spacing w:line="276" w:lineRule="auto"/>
        <w:jc w:val="both"/>
        <w:rPr>
          <w:rFonts w:ascii="National" w:eastAsia="National" w:hAnsi="National" w:cs="National"/>
          <w:b/>
          <w:bCs/>
          <w:color w:val="303AB2"/>
          <w:sz w:val="32"/>
          <w:szCs w:val="32"/>
        </w:rPr>
      </w:pPr>
      <w:r>
        <w:rPr>
          <w:rFonts w:ascii="National" w:eastAsia="National" w:hAnsi="National" w:cs="National"/>
          <w:b/>
          <w:bCs/>
          <w:color w:val="303AB2"/>
          <w:sz w:val="32"/>
          <w:szCs w:val="32"/>
        </w:rPr>
        <w:t>Los jóvenes lideran la vuelta a los pueblos</w:t>
      </w:r>
    </w:p>
    <w:p w14:paraId="10C8985C"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7A89B605" w14:textId="77777777" w:rsidR="004861A7" w:rsidRDefault="00000000">
      <w:pPr>
        <w:pBdr>
          <w:top w:val="nil"/>
          <w:left w:val="nil"/>
          <w:bottom w:val="nil"/>
          <w:right w:val="nil"/>
          <w:between w:val="nil"/>
        </w:pBdr>
        <w:spacing w:line="276" w:lineRule="auto"/>
        <w:jc w:val="both"/>
        <w:rPr>
          <w:rFonts w:ascii="Open Sans" w:eastAsia="Open Sans" w:hAnsi="Open Sans" w:cs="Open Sans"/>
        </w:rPr>
      </w:pPr>
      <w:r>
        <w:rPr>
          <w:rFonts w:ascii="Open Sans" w:eastAsia="Open Sans" w:hAnsi="Open Sans" w:cs="Open Sans"/>
        </w:rPr>
        <w:t>Como se ha mencionado, al analizar estos datos en función de la edad de los particulares, se aprecia cómo son los segmentos más jóvenes los que más se decantan por irse a vivir a un pueblo de menos de 10.000 habitantes, ya sea de forma efectiva o como una aspiración. En línea con años anteriores, los que tienen entre 18 y 24 años son los que más tienen previsto hacer este cambio efectivamente en los próximos meses</w:t>
      </w:r>
      <w:r>
        <w:rPr>
          <w:rFonts w:ascii="Open Sans" w:eastAsia="Open Sans" w:hAnsi="Open Sans" w:cs="Open Sans"/>
          <w:b/>
          <w:bCs/>
        </w:rPr>
        <w:t>: son el 23% del total y la mayoría afirma que va a buscar un nuevo trabajo para poder trasladarse a un pueblo</w:t>
      </w:r>
      <w:r>
        <w:rPr>
          <w:rFonts w:ascii="Open Sans" w:eastAsia="Open Sans" w:hAnsi="Open Sans" w:cs="Open Sans"/>
        </w:rPr>
        <w:t xml:space="preserve">. </w:t>
      </w:r>
    </w:p>
    <w:p w14:paraId="1018CB4A"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223B97E6" w14:textId="77777777" w:rsidR="004861A7" w:rsidRDefault="00000000">
      <w:pPr>
        <w:pBdr>
          <w:top w:val="nil"/>
          <w:left w:val="nil"/>
          <w:bottom w:val="nil"/>
          <w:right w:val="nil"/>
          <w:between w:val="nil"/>
        </w:pBdr>
        <w:spacing w:line="276" w:lineRule="auto"/>
        <w:jc w:val="both"/>
        <w:rPr>
          <w:rFonts w:ascii="Open Sans" w:eastAsia="Open Sans" w:hAnsi="Open Sans" w:cs="Open Sans"/>
        </w:rPr>
      </w:pPr>
      <w:r>
        <w:rPr>
          <w:rFonts w:ascii="Open Sans" w:eastAsia="Open Sans" w:hAnsi="Open Sans" w:cs="Open Sans"/>
          <w:b/>
          <w:bCs/>
        </w:rPr>
        <w:t>Seguidamente se sitúa el estrato inmediatamente superior, que abarca de los 25 a los 34 años, en el que son un 16% los que van a mudarse a una zona rural</w:t>
      </w:r>
      <w:r>
        <w:rPr>
          <w:rFonts w:ascii="Open Sans" w:eastAsia="Open Sans" w:hAnsi="Open Sans" w:cs="Open Sans"/>
        </w:rPr>
        <w:t xml:space="preserve">. Una cifra que, además, acumula dos años de subidas continuadas: en 2024 eran el 10% y en 2025, un 13%, tres puntos porcentuales menos que ahora. En este caso también son mayoría los que van a cambiar de empleo (12%), que los que van a teletrabajar (4%). Por otro lado, el colectivo de mayor edad, que abarca </w:t>
      </w:r>
      <w:r>
        <w:rPr>
          <w:rFonts w:ascii="Open Sans" w:eastAsia="Open Sans" w:hAnsi="Open Sans" w:cs="Open Sans"/>
        </w:rPr>
        <w:lastRenderedPageBreak/>
        <w:t xml:space="preserve">desde los 55 a los 75 años, experimenta con respecto a 2025 un incremento estadísticamente significativo del interés no efectivo por irse a vivir a un pueblo: una de cada dos personas (51%) en este grupo de población afirma que le gusta la idea, aunque no puede llevarla a cabo. El año anterior eran el 46%. </w:t>
      </w:r>
    </w:p>
    <w:p w14:paraId="633F0701"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03FC90E7" w14:textId="77777777" w:rsidR="004861A7" w:rsidRDefault="00000000">
      <w:pPr>
        <w:jc w:val="center"/>
        <w:rPr>
          <w:rFonts w:ascii="Aptos" w:eastAsia="Aptos" w:hAnsi="Aptos" w:cs="Aptos"/>
          <w:b/>
          <w:bCs/>
          <w:smallCaps/>
          <w:color w:val="323FAC"/>
          <w:sz w:val="20"/>
          <w:szCs w:val="20"/>
        </w:rPr>
      </w:pPr>
      <w:r>
        <w:rPr>
          <w:rFonts w:ascii="National" w:eastAsia="National" w:hAnsi="National" w:cs="National"/>
          <w:color w:val="303AB2"/>
          <w:sz w:val="28"/>
          <w:szCs w:val="28"/>
        </w:rPr>
        <w:t>Demandantes de vivienda con intención de trasladarse a un pueblo por edad</w:t>
      </w:r>
    </w:p>
    <w:p w14:paraId="0B4F91BD" w14:textId="77777777" w:rsidR="004861A7" w:rsidRDefault="00000000">
      <w:pPr>
        <w:rPr>
          <w:rFonts w:ascii="Aptos" w:eastAsia="Aptos" w:hAnsi="Aptos" w:cs="Aptos"/>
          <w:color w:val="323FAC"/>
        </w:rPr>
      </w:pPr>
      <w:r>
        <w:rPr>
          <w:rFonts w:ascii="Aptos" w:eastAsia="Aptos" w:hAnsi="Aptos" w:cs="Aptos"/>
          <w:noProof/>
          <w:color w:val="323FAC"/>
        </w:rPr>
        <w:drawing>
          <wp:inline distT="0" distB="0" distL="0" distR="0" wp14:anchorId="15A12A3B" wp14:editId="62DDC68A">
            <wp:extent cx="5486296" cy="284536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486296" cy="2845360"/>
                    </a:xfrm>
                    <a:prstGeom prst="rect">
                      <a:avLst/>
                    </a:prstGeom>
                    <a:ln/>
                  </pic:spPr>
                </pic:pic>
              </a:graphicData>
            </a:graphic>
          </wp:inline>
        </w:drawing>
      </w:r>
    </w:p>
    <w:p w14:paraId="0696AC65"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5D606306" w14:textId="77777777" w:rsidR="004861A7" w:rsidRDefault="00000000">
      <w:pPr>
        <w:pBdr>
          <w:top w:val="nil"/>
          <w:left w:val="nil"/>
          <w:bottom w:val="nil"/>
          <w:right w:val="nil"/>
          <w:between w:val="nil"/>
        </w:pBdr>
        <w:spacing w:line="276" w:lineRule="auto"/>
        <w:jc w:val="both"/>
        <w:rPr>
          <w:rFonts w:ascii="Open Sans" w:eastAsia="Open Sans" w:hAnsi="Open Sans" w:cs="Open Sans"/>
        </w:rPr>
      </w:pPr>
      <w:r>
        <w:rPr>
          <w:rFonts w:ascii="National" w:eastAsia="National" w:hAnsi="National" w:cs="National"/>
          <w:b/>
          <w:bCs/>
          <w:color w:val="303AB2"/>
          <w:sz w:val="32"/>
          <w:szCs w:val="32"/>
        </w:rPr>
        <w:t>Madrid, la comunidad en la que más particulares se marchan de las ciudades</w:t>
      </w:r>
      <w:r>
        <w:rPr>
          <w:rFonts w:ascii="Open Sans" w:eastAsia="Open Sans" w:hAnsi="Open Sans" w:cs="Open Sans"/>
        </w:rPr>
        <w:t xml:space="preserve"> </w:t>
      </w:r>
    </w:p>
    <w:p w14:paraId="55C3D032"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5416E109" w14:textId="77777777" w:rsidR="004861A7" w:rsidRDefault="00000000">
      <w:pPr>
        <w:pBdr>
          <w:top w:val="nil"/>
          <w:left w:val="nil"/>
          <w:bottom w:val="nil"/>
          <w:right w:val="nil"/>
          <w:between w:val="nil"/>
        </w:pBdr>
        <w:spacing w:line="276" w:lineRule="auto"/>
        <w:jc w:val="both"/>
        <w:rPr>
          <w:rFonts w:ascii="Open Sans" w:eastAsia="Open Sans" w:hAnsi="Open Sans" w:cs="Open Sans"/>
        </w:rPr>
      </w:pPr>
      <w:r>
        <w:rPr>
          <w:rFonts w:ascii="Open Sans" w:eastAsia="Open Sans" w:hAnsi="Open Sans" w:cs="Open Sans"/>
        </w:rPr>
        <w:t xml:space="preserve">Desde la perspectiva territorial, la Comunidad de Madrid destaca por ser aquella en la que más crecen los planes de trasladarse a un pueblo. </w:t>
      </w:r>
      <w:r>
        <w:rPr>
          <w:rFonts w:ascii="Open Sans" w:eastAsia="Open Sans" w:hAnsi="Open Sans" w:cs="Open Sans"/>
          <w:b/>
          <w:bCs/>
        </w:rPr>
        <w:t>Concretamente, un 17% de los particulares mayores de 18 años en esta región va a mudarse a una zona rural próximamente</w:t>
      </w:r>
      <w:r>
        <w:rPr>
          <w:rFonts w:ascii="Open Sans" w:eastAsia="Open Sans" w:hAnsi="Open Sans" w:cs="Open Sans"/>
        </w:rPr>
        <w:t>. Además, crecen significativamente tanto los que lo van a hacer teletrabajando, que pasan de ser el 4% al 7%, y los que van a cambiar de empleo, que en 2025 eran el 7% y en 2026 son el 10%. Asimismo, en esta misma comunidad, el año pasado se produjo un fuerte incremento de aquellos a los que le gustaba esta idea, aunque no tuvieran previsto hacerlo. Pasaron de ser el 50% al 61%, y los datos de 2026 han consolidado a este grupo, que se mantiene estable. Al margen de Madrid, el resto de las autonomías prácticamente no han experimentado variaciones durante el último año en este registro.</w:t>
      </w:r>
    </w:p>
    <w:p w14:paraId="0CC3EC11"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5343FAD4"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71FA68C2" w14:textId="77777777" w:rsidR="004861A7" w:rsidRDefault="004861A7">
      <w:pPr>
        <w:pBdr>
          <w:top w:val="nil"/>
          <w:left w:val="nil"/>
          <w:bottom w:val="nil"/>
          <w:right w:val="nil"/>
          <w:between w:val="nil"/>
        </w:pBdr>
        <w:spacing w:line="276" w:lineRule="auto"/>
        <w:jc w:val="both"/>
        <w:rPr>
          <w:rFonts w:ascii="Open Sans" w:eastAsia="Open Sans" w:hAnsi="Open Sans" w:cs="Open Sans"/>
        </w:rPr>
      </w:pPr>
    </w:p>
    <w:p w14:paraId="2E91E133" w14:textId="77777777" w:rsidR="004861A7" w:rsidRDefault="00000000" w:rsidP="00F847F3">
      <w:pPr>
        <w:spacing w:line="276" w:lineRule="auto"/>
        <w:jc w:val="right"/>
        <w:rPr>
          <w:rFonts w:ascii="Open Sans Light" w:eastAsia="Open Sans Light" w:hAnsi="Open Sans Light" w:cs="Open Sans Light"/>
          <w:b/>
          <w:bCs/>
          <w:color w:val="303AB2"/>
        </w:rPr>
      </w:pPr>
      <w:r>
        <w:rPr>
          <w:rFonts w:ascii="Open Sans Light" w:eastAsia="Open Sans Light" w:hAnsi="Open Sans Light" w:cs="Open Sans Light"/>
          <w:b/>
          <w:bCs/>
          <w:color w:val="303AB2"/>
        </w:rPr>
        <w:lastRenderedPageBreak/>
        <w:t>Sobre Fotocasa</w:t>
      </w:r>
    </w:p>
    <w:p w14:paraId="2D792BC8" w14:textId="77777777" w:rsidR="004861A7" w:rsidRDefault="00000000" w:rsidP="00F847F3">
      <w:pPr>
        <w:shd w:val="clear" w:color="auto" w:fill="FFFFFF"/>
        <w:spacing w:before="280" w:after="280" w:line="276" w:lineRule="auto"/>
        <w:jc w:val="both"/>
        <w:rPr>
          <w:rFonts w:ascii="Open Sans" w:eastAsia="Open Sans" w:hAnsi="Open Sans" w:cs="Open Sans"/>
          <w:sz w:val="22"/>
          <w:szCs w:val="22"/>
        </w:rPr>
      </w:pPr>
      <w:r>
        <w:rPr>
          <w:rFonts w:ascii="Open Sans" w:eastAsia="Open Sans" w:hAnsi="Open Sans" w:cs="Open Sans"/>
          <w:sz w:val="22"/>
          <w:szCs w:val="22"/>
        </w:rPr>
        <w:t xml:space="preserve">Fotocasa es uno de los principales portales inmobiliarios de España, con una amplia oferta de viviendas de segunda mano, promociones de obra nueva y alquileres que pertenece a </w:t>
      </w:r>
      <w:r>
        <w:rPr>
          <w:rFonts w:ascii="Open Sans" w:eastAsia="Open Sans" w:hAnsi="Open Sans" w:cs="Open Sans"/>
          <w:b/>
          <w:bCs/>
          <w:sz w:val="22"/>
          <w:szCs w:val="22"/>
        </w:rPr>
        <w:t>Fotocasa Group</w:t>
      </w:r>
      <w:r>
        <w:rPr>
          <w:rFonts w:ascii="Open Sans" w:eastAsia="Open Sans" w:hAnsi="Open Sans" w:cs="Open Sans"/>
          <w:sz w:val="22"/>
          <w:szCs w:val="22"/>
        </w:rPr>
        <w:t xml:space="preserve">. </w:t>
      </w:r>
    </w:p>
    <w:p w14:paraId="1C9171B9" w14:textId="77777777" w:rsidR="004861A7" w:rsidRDefault="00000000" w:rsidP="00F847F3">
      <w:pPr>
        <w:shd w:val="clear" w:color="auto" w:fill="FFFFFF"/>
        <w:spacing w:before="280" w:after="280" w:line="276" w:lineRule="auto"/>
        <w:jc w:val="both"/>
        <w:rPr>
          <w:rFonts w:ascii="Open Sans" w:eastAsia="Open Sans" w:hAnsi="Open Sans" w:cs="Open Sans"/>
          <w:sz w:val="22"/>
          <w:szCs w:val="22"/>
        </w:rPr>
      </w:pPr>
      <w:r>
        <w:rPr>
          <w:rFonts w:ascii="Open Sans" w:eastAsia="Open Sans" w:hAnsi="Open Sans" w:cs="Open Sans"/>
          <w:sz w:val="22"/>
          <w:szCs w:val="22"/>
        </w:rPr>
        <w:t xml:space="preserve">Mensualmente, elabora el </w:t>
      </w:r>
      <w:hyperlink r:id="rId13">
        <w:r w:rsidR="004861A7">
          <w:rPr>
            <w:rFonts w:ascii="Open Sans" w:eastAsia="Open Sans" w:hAnsi="Open Sans" w:cs="Open Sans"/>
            <w:b/>
            <w:bCs/>
            <w:color w:val="0000FF"/>
            <w:sz w:val="22"/>
            <w:szCs w:val="22"/>
            <w:u w:val="single"/>
          </w:rPr>
          <w:t>Índice inmobiliario Fotocasa</w:t>
        </w:r>
      </w:hyperlink>
      <w:r>
        <w:rPr>
          <w:rFonts w:ascii="Open Sans" w:eastAsia="Open Sans" w:hAnsi="Open Sans" w:cs="Open Sans"/>
          <w:sz w:val="22"/>
          <w:szCs w:val="22"/>
        </w:rPr>
        <w:t xml:space="preserve">, un informe de referencia que analiza la evolución del precio medio de la vivienda en España, tanto en venta como en alquiler. Desde 2017, desarrolla además estudios sociológicos bajo el sello </w:t>
      </w:r>
      <w:hyperlink r:id="rId14">
        <w:r w:rsidR="004861A7">
          <w:rPr>
            <w:rFonts w:ascii="Open Sans" w:eastAsia="Open Sans" w:hAnsi="Open Sans" w:cs="Open Sans"/>
            <w:b/>
            <w:bCs/>
            <w:color w:val="0000FF"/>
            <w:sz w:val="22"/>
            <w:szCs w:val="22"/>
            <w:u w:val="single"/>
          </w:rPr>
          <w:t>Fotocasa Research</w:t>
        </w:r>
      </w:hyperlink>
      <w:r>
        <w:rPr>
          <w:rFonts w:ascii="Open Sans" w:eastAsia="Open Sans" w:hAnsi="Open Sans" w:cs="Open Sans"/>
          <w:sz w:val="22"/>
          <w:szCs w:val="22"/>
        </w:rPr>
        <w:t>, con el objetivo de aportar conocimiento y análisis en profundidad sobre las tendencias del mercado y el comportamiento de los ciudadanos en relación con la vivienda.</w:t>
      </w:r>
    </w:p>
    <w:p w14:paraId="12C4866C" w14:textId="77777777" w:rsidR="004861A7" w:rsidRDefault="00000000" w:rsidP="00F847F3">
      <w:pPr>
        <w:shd w:val="clear" w:color="auto" w:fill="FFFFFF"/>
        <w:spacing w:before="280" w:after="280" w:line="276" w:lineRule="auto"/>
        <w:jc w:val="both"/>
        <w:rPr>
          <w:rFonts w:ascii="Open Sans" w:eastAsia="Open Sans" w:hAnsi="Open Sans" w:cs="Open Sans"/>
          <w:sz w:val="22"/>
          <w:szCs w:val="22"/>
        </w:rPr>
      </w:pPr>
      <w:r>
        <w:rPr>
          <w:rFonts w:ascii="Open Sans" w:eastAsia="Open Sans" w:hAnsi="Open Sans" w:cs="Open Sans"/>
          <w:sz w:val="22"/>
          <w:szCs w:val="22"/>
        </w:rPr>
        <w:t xml:space="preserve">Toda la información y los últimos comunicados están disponibles en su </w:t>
      </w:r>
      <w:hyperlink r:id="rId15">
        <w:r w:rsidR="004861A7">
          <w:rPr>
            <w:rFonts w:ascii="Open Sans" w:eastAsia="Open Sans" w:hAnsi="Open Sans" w:cs="Open Sans"/>
            <w:b/>
            <w:bCs/>
            <w:color w:val="0000FF"/>
            <w:sz w:val="22"/>
            <w:szCs w:val="22"/>
            <w:u w:val="single"/>
          </w:rPr>
          <w:t>Sala de Prensa</w:t>
        </w:r>
      </w:hyperlink>
    </w:p>
    <w:p w14:paraId="1865AA43" w14:textId="77777777" w:rsidR="004861A7" w:rsidRDefault="004861A7" w:rsidP="00F847F3">
      <w:pPr>
        <w:spacing w:line="276" w:lineRule="auto"/>
        <w:rPr>
          <w:rFonts w:ascii="Open Sans Light" w:eastAsia="Open Sans Light" w:hAnsi="Open Sans Light" w:cs="Open Sans Light"/>
          <w:b/>
          <w:bCs/>
          <w:color w:val="303AB2"/>
        </w:rPr>
      </w:pPr>
    </w:p>
    <w:p w14:paraId="0F419BB1" w14:textId="77777777" w:rsidR="004861A7" w:rsidRDefault="00000000" w:rsidP="00F847F3">
      <w:pPr>
        <w:spacing w:line="276" w:lineRule="auto"/>
        <w:jc w:val="right"/>
        <w:rPr>
          <w:rFonts w:ascii="Open Sans Light" w:eastAsia="Open Sans Light" w:hAnsi="Open Sans Light" w:cs="Open Sans Light"/>
          <w:b/>
          <w:bCs/>
          <w:color w:val="303AB2"/>
        </w:rPr>
      </w:pPr>
      <w:r>
        <w:rPr>
          <w:rFonts w:ascii="Open Sans Light" w:eastAsia="Open Sans Light" w:hAnsi="Open Sans Light" w:cs="Open Sans Light"/>
          <w:b/>
          <w:bCs/>
          <w:color w:val="303AB2"/>
        </w:rPr>
        <w:t>Sobre Fotocasa Group</w:t>
      </w:r>
    </w:p>
    <w:p w14:paraId="62FE967D" w14:textId="77777777" w:rsidR="004861A7" w:rsidRDefault="00000000" w:rsidP="00F847F3">
      <w:pPr>
        <w:shd w:val="clear" w:color="auto" w:fill="FFFFFF"/>
        <w:spacing w:before="280" w:after="280" w:line="276" w:lineRule="auto"/>
        <w:jc w:val="both"/>
        <w:rPr>
          <w:rFonts w:ascii="Open Sans" w:eastAsia="Open Sans" w:hAnsi="Open Sans" w:cs="Open Sans"/>
          <w:sz w:val="22"/>
          <w:szCs w:val="22"/>
        </w:rPr>
      </w:pPr>
      <w:r>
        <w:rPr>
          <w:rFonts w:ascii="Open Sans" w:eastAsia="Open Sans" w:hAnsi="Open Sans" w:cs="Open Sans"/>
          <w:b/>
          <w:bCs/>
          <w:sz w:val="22"/>
          <w:szCs w:val="22"/>
        </w:rPr>
        <w:t>Fotocasa Group</w:t>
      </w:r>
      <w:r>
        <w:rPr>
          <w:rFonts w:ascii="Open Sans" w:eastAsia="Open Sans" w:hAnsi="Open Sans" w:cs="Open Sans"/>
          <w:sz w:val="22"/>
          <w:szCs w:val="22"/>
        </w:rPr>
        <w:t xml:space="preserve"> es un referente del sector inmobiliario en España, </w:t>
      </w:r>
      <w:r>
        <w:rPr>
          <w:rFonts w:ascii="Open Sans" w:eastAsia="Open Sans" w:hAnsi="Open Sans" w:cs="Open Sans"/>
          <w:b/>
          <w:bCs/>
          <w:sz w:val="22"/>
          <w:szCs w:val="22"/>
        </w:rPr>
        <w:t>con más de 25 años de experiencia</w:t>
      </w:r>
      <w:r>
        <w:rPr>
          <w:rFonts w:ascii="Open Sans" w:eastAsia="Open Sans" w:hAnsi="Open Sans" w:cs="Open Sans"/>
          <w:sz w:val="22"/>
          <w:szCs w:val="22"/>
        </w:rPr>
        <w:t> liderando la transformación del real estate a través de la innovación, los datos y la tecnología.</w:t>
      </w:r>
    </w:p>
    <w:p w14:paraId="5BE0144C" w14:textId="77777777" w:rsidR="004861A7" w:rsidRDefault="00000000" w:rsidP="00F847F3">
      <w:pPr>
        <w:shd w:val="clear" w:color="auto" w:fill="FFFFFF"/>
        <w:spacing w:before="280" w:after="280" w:line="276" w:lineRule="auto"/>
        <w:jc w:val="both"/>
        <w:rPr>
          <w:rFonts w:ascii="Open Sans" w:eastAsia="Open Sans" w:hAnsi="Open Sans" w:cs="Open Sans"/>
          <w:sz w:val="22"/>
          <w:szCs w:val="22"/>
        </w:rPr>
      </w:pPr>
      <w:r>
        <w:rPr>
          <w:rFonts w:ascii="Open Sans" w:eastAsia="Open Sans" w:hAnsi="Open Sans" w:cs="Open Sans"/>
          <w:sz w:val="22"/>
          <w:szCs w:val="22"/>
        </w:rPr>
        <w:t>Bajo su marca paraguas, Fotocasa Group impulsa y da visibilidad a un ecosistema de marcas líderes —</w:t>
      </w:r>
      <w:hyperlink r:id="rId16">
        <w:r w:rsidR="004861A7">
          <w:rPr>
            <w:rFonts w:ascii="Open Sans" w:eastAsia="Open Sans" w:hAnsi="Open Sans" w:cs="Open Sans"/>
            <w:b/>
            <w:bCs/>
            <w:color w:val="0000FF"/>
            <w:sz w:val="22"/>
            <w:szCs w:val="22"/>
            <w:u w:val="single"/>
          </w:rPr>
          <w:t>Fotocasa</w:t>
        </w:r>
      </w:hyperlink>
      <w:r>
        <w:rPr>
          <w:rFonts w:ascii="Open Sans" w:eastAsia="Open Sans" w:hAnsi="Open Sans" w:cs="Open Sans"/>
          <w:sz w:val="22"/>
          <w:szCs w:val="22"/>
        </w:rPr>
        <w:t xml:space="preserve">, </w:t>
      </w:r>
      <w:hyperlink r:id="rId17">
        <w:r w:rsidR="004861A7">
          <w:rPr>
            <w:rFonts w:ascii="Open Sans" w:eastAsia="Open Sans" w:hAnsi="Open Sans" w:cs="Open Sans"/>
            <w:b/>
            <w:bCs/>
            <w:color w:val="0000FF"/>
            <w:sz w:val="22"/>
            <w:szCs w:val="22"/>
            <w:u w:val="single"/>
          </w:rPr>
          <w:t>habitaclia</w:t>
        </w:r>
      </w:hyperlink>
      <w:r>
        <w:rPr>
          <w:rFonts w:ascii="Open Sans" w:eastAsia="Open Sans" w:hAnsi="Open Sans" w:cs="Open Sans"/>
          <w:sz w:val="22"/>
          <w:szCs w:val="22"/>
        </w:rPr>
        <w:t xml:space="preserve">, </w:t>
      </w:r>
      <w:hyperlink r:id="rId18">
        <w:r w:rsidR="004861A7">
          <w:rPr>
            <w:rFonts w:ascii="Open Sans" w:eastAsia="Open Sans" w:hAnsi="Open Sans" w:cs="Open Sans"/>
            <w:b/>
            <w:bCs/>
            <w:color w:val="0000FF"/>
            <w:sz w:val="22"/>
            <w:szCs w:val="22"/>
            <w:u w:val="single"/>
          </w:rPr>
          <w:t>Fotocasa Pro</w:t>
        </w:r>
      </w:hyperlink>
      <w:r>
        <w:rPr>
          <w:rFonts w:ascii="Open Sans" w:eastAsia="Open Sans" w:hAnsi="Open Sans" w:cs="Open Sans"/>
          <w:sz w:val="22"/>
          <w:szCs w:val="22"/>
        </w:rPr>
        <w:t xml:space="preserve">, </w:t>
      </w:r>
      <w:hyperlink r:id="rId19">
        <w:r w:rsidR="004861A7">
          <w:rPr>
            <w:rFonts w:ascii="Open Sans" w:eastAsia="Open Sans" w:hAnsi="Open Sans" w:cs="Open Sans"/>
            <w:b/>
            <w:bCs/>
            <w:color w:val="0000FF"/>
            <w:sz w:val="22"/>
            <w:szCs w:val="22"/>
            <w:u w:val="single"/>
          </w:rPr>
          <w:t>Datavenues</w:t>
        </w:r>
      </w:hyperlink>
      <w:r>
        <w:rPr>
          <w:rFonts w:ascii="Open Sans" w:eastAsia="Open Sans" w:hAnsi="Open Sans" w:cs="Open Sans"/>
          <w:sz w:val="22"/>
          <w:szCs w:val="22"/>
        </w:rPr>
        <w:t xml:space="preserve">, </w:t>
      </w:r>
      <w:hyperlink r:id="rId20">
        <w:r w:rsidR="004861A7">
          <w:rPr>
            <w:rFonts w:ascii="Open Sans" w:eastAsia="Open Sans" w:hAnsi="Open Sans" w:cs="Open Sans"/>
            <w:b/>
            <w:bCs/>
            <w:color w:val="0000FF"/>
            <w:sz w:val="22"/>
            <w:szCs w:val="22"/>
            <w:u w:val="single"/>
          </w:rPr>
          <w:t>Witei</w:t>
        </w:r>
      </w:hyperlink>
      <w:r>
        <w:rPr>
          <w:rFonts w:ascii="Open Sans" w:eastAsia="Open Sans" w:hAnsi="Open Sans" w:cs="Open Sans"/>
          <w:sz w:val="22"/>
          <w:szCs w:val="22"/>
        </w:rPr>
        <w:t xml:space="preserve"> e </w:t>
      </w:r>
      <w:hyperlink r:id="rId21">
        <w:r w:rsidR="004861A7">
          <w:rPr>
            <w:rFonts w:ascii="Open Sans" w:eastAsia="Open Sans" w:hAnsi="Open Sans" w:cs="Open Sans"/>
            <w:b/>
            <w:bCs/>
            <w:color w:val="0000FF"/>
            <w:sz w:val="22"/>
            <w:szCs w:val="22"/>
          </w:rPr>
          <w:t>Inmoweb</w:t>
        </w:r>
      </w:hyperlink>
      <w:r>
        <w:rPr>
          <w:rFonts w:ascii="Open Sans" w:eastAsia="Open Sans" w:hAnsi="Open Sans" w:cs="Open Sans"/>
          <w:sz w:val="22"/>
          <w:szCs w:val="22"/>
        </w:rPr>
        <w:t xml:space="preserve">— que ofrecen soluciones integrales tanto </w:t>
      </w:r>
      <w:r>
        <w:rPr>
          <w:rFonts w:ascii="Open Sans" w:eastAsia="Open Sans" w:hAnsi="Open Sans" w:cs="Open Sans"/>
          <w:b/>
          <w:bCs/>
          <w:sz w:val="22"/>
          <w:szCs w:val="22"/>
        </w:rPr>
        <w:t>para particulares como para profesionales del sector</w:t>
      </w:r>
      <w:r>
        <w:rPr>
          <w:rFonts w:ascii="Open Sans" w:eastAsia="Open Sans" w:hAnsi="Open Sans" w:cs="Open Sans"/>
          <w:sz w:val="22"/>
          <w:szCs w:val="22"/>
        </w:rPr>
        <w:t>.</w:t>
      </w:r>
    </w:p>
    <w:p w14:paraId="3E778E1D" w14:textId="77777777" w:rsidR="004861A7" w:rsidRDefault="00000000" w:rsidP="00F847F3">
      <w:pPr>
        <w:shd w:val="clear" w:color="auto" w:fill="FFFFFF"/>
        <w:spacing w:before="280" w:after="280" w:line="276" w:lineRule="auto"/>
        <w:jc w:val="both"/>
        <w:rPr>
          <w:rFonts w:ascii="Open Sans" w:eastAsia="Open Sans" w:hAnsi="Open Sans" w:cs="Open Sans"/>
          <w:sz w:val="22"/>
          <w:szCs w:val="22"/>
        </w:rPr>
      </w:pPr>
      <w:r>
        <w:rPr>
          <w:rFonts w:ascii="Open Sans" w:eastAsia="Open Sans" w:hAnsi="Open Sans" w:cs="Open Sans"/>
          <w:b/>
          <w:bCs/>
          <w:sz w:val="22"/>
          <w:szCs w:val="22"/>
        </w:rPr>
        <w:t>Fotocasa</w:t>
      </w:r>
      <w:r>
        <w:rPr>
          <w:rFonts w:ascii="Open Sans" w:eastAsia="Open Sans" w:hAnsi="Open Sans" w:cs="Open Sans"/>
          <w:sz w:val="22"/>
          <w:szCs w:val="22"/>
        </w:rPr>
        <w:t>, la marca insignia del grupo, conecta cada día a </w:t>
      </w:r>
      <w:r>
        <w:rPr>
          <w:rFonts w:ascii="Open Sans" w:eastAsia="Open Sans" w:hAnsi="Open Sans" w:cs="Open Sans"/>
          <w:b/>
          <w:bCs/>
          <w:sz w:val="22"/>
          <w:szCs w:val="22"/>
        </w:rPr>
        <w:t>millones de personas con su próximo hogar</w:t>
      </w:r>
      <w:r>
        <w:rPr>
          <w:rFonts w:ascii="Open Sans" w:eastAsia="Open Sans" w:hAnsi="Open Sans" w:cs="Open Sans"/>
          <w:sz w:val="22"/>
          <w:szCs w:val="22"/>
        </w:rPr>
        <w:t>, ofreciendo la mayor oferta de viviendas de segunda mano, obra nueva, alquiler y compraventa, junto con análisis y contenidos que la consolidan como un auténtico </w:t>
      </w:r>
      <w:r>
        <w:rPr>
          <w:rFonts w:ascii="Open Sans" w:eastAsia="Open Sans" w:hAnsi="Open Sans" w:cs="Open Sans"/>
          <w:b/>
          <w:bCs/>
          <w:sz w:val="22"/>
          <w:szCs w:val="22"/>
        </w:rPr>
        <w:t>referente del mercado inmobiliario</w:t>
      </w:r>
      <w:r>
        <w:rPr>
          <w:rFonts w:ascii="Open Sans" w:eastAsia="Open Sans" w:hAnsi="Open Sans" w:cs="Open Sans"/>
          <w:sz w:val="22"/>
          <w:szCs w:val="22"/>
        </w:rPr>
        <w:t>.</w:t>
      </w:r>
    </w:p>
    <w:p w14:paraId="0B93B499" w14:textId="77777777" w:rsidR="004861A7" w:rsidRDefault="00000000" w:rsidP="00F847F3">
      <w:pPr>
        <w:spacing w:line="276" w:lineRule="auto"/>
        <w:jc w:val="both"/>
        <w:rPr>
          <w:rFonts w:ascii="Open Sans" w:eastAsia="Open Sans" w:hAnsi="Open Sans" w:cs="Open Sans"/>
          <w:sz w:val="22"/>
          <w:szCs w:val="22"/>
        </w:rPr>
      </w:pPr>
      <w:r>
        <w:rPr>
          <w:rFonts w:ascii="Open Sans" w:eastAsia="Open Sans" w:hAnsi="Open Sans" w:cs="Open Sans"/>
          <w:b/>
          <w:bCs/>
          <w:sz w:val="22"/>
          <w:szCs w:val="22"/>
        </w:rPr>
        <w:t>Fotocasa Group forma parte de Scout24</w:t>
      </w:r>
      <w:r>
        <w:rPr>
          <w:rFonts w:ascii="Open Sans" w:eastAsia="Open Sans" w:hAnsi="Open Sans" w:cs="Open Sans"/>
          <w:sz w:val="22"/>
          <w:szCs w:val="22"/>
        </w:rPr>
        <w:t xml:space="preserve">, el grupo tecnológico alemán líder en Europa que opera </w:t>
      </w:r>
      <w:r>
        <w:rPr>
          <w:rFonts w:ascii="Open Sans" w:eastAsia="Open Sans" w:hAnsi="Open Sans" w:cs="Open Sans"/>
          <w:b/>
          <w:bCs/>
          <w:sz w:val="22"/>
          <w:szCs w:val="22"/>
        </w:rPr>
        <w:t>ImmoScout24</w:t>
      </w:r>
      <w:r>
        <w:rPr>
          <w:rFonts w:ascii="Open Sans" w:eastAsia="Open Sans" w:hAnsi="Open Sans" w:cs="Open Sans"/>
          <w:sz w:val="22"/>
          <w:szCs w:val="22"/>
        </w:rPr>
        <w:t xml:space="preserve">. </w:t>
      </w:r>
    </w:p>
    <w:p w14:paraId="3C83FEB0" w14:textId="77777777" w:rsidR="004861A7" w:rsidRDefault="004861A7" w:rsidP="00F847F3">
      <w:pPr>
        <w:spacing w:line="276" w:lineRule="auto"/>
        <w:jc w:val="both"/>
        <w:rPr>
          <w:rFonts w:ascii="Open Sans" w:eastAsia="Open Sans" w:hAnsi="Open Sans" w:cs="Open Sans"/>
          <w:sz w:val="22"/>
          <w:szCs w:val="22"/>
        </w:rPr>
      </w:pPr>
    </w:p>
    <w:p w14:paraId="2ECE8D1D" w14:textId="77777777" w:rsidR="004861A7" w:rsidRDefault="00000000" w:rsidP="00F847F3">
      <w:pPr>
        <w:spacing w:line="276" w:lineRule="auto"/>
        <w:jc w:val="right"/>
        <w:rPr>
          <w:rFonts w:ascii="Open Sans Light" w:eastAsia="Open Sans Light" w:hAnsi="Open Sans Light" w:cs="Open Sans Light"/>
          <w:b/>
          <w:bCs/>
          <w:color w:val="303AB2"/>
        </w:rPr>
      </w:pPr>
      <w:r>
        <w:rPr>
          <w:rFonts w:ascii="Open Sans Light" w:eastAsia="Open Sans Light" w:hAnsi="Open Sans Light" w:cs="Open Sans Light"/>
          <w:b/>
          <w:bCs/>
          <w:color w:val="303AB2"/>
        </w:rPr>
        <w:t>Sobre Scout24</w:t>
      </w:r>
    </w:p>
    <w:p w14:paraId="45086FF2" w14:textId="77777777" w:rsidR="004861A7" w:rsidRDefault="004861A7" w:rsidP="00F847F3">
      <w:pPr>
        <w:pBdr>
          <w:top w:val="nil"/>
          <w:left w:val="nil"/>
          <w:bottom w:val="nil"/>
          <w:right w:val="nil"/>
          <w:between w:val="nil"/>
        </w:pBdr>
        <w:spacing w:line="276" w:lineRule="auto"/>
        <w:jc w:val="both"/>
        <w:rPr>
          <w:rFonts w:ascii="Open Sans" w:eastAsia="Open Sans" w:hAnsi="Open Sans" w:cs="Open Sans"/>
          <w:sz w:val="22"/>
          <w:szCs w:val="22"/>
        </w:rPr>
      </w:pPr>
    </w:p>
    <w:p w14:paraId="6FBB6BA8" w14:textId="77777777" w:rsidR="004861A7" w:rsidRDefault="00000000" w:rsidP="00F847F3">
      <w:pPr>
        <w:pBdr>
          <w:top w:val="nil"/>
          <w:left w:val="nil"/>
          <w:bottom w:val="nil"/>
          <w:right w:val="nil"/>
          <w:between w:val="nil"/>
        </w:pBdr>
        <w:spacing w:line="276" w:lineRule="auto"/>
        <w:jc w:val="both"/>
        <w:rPr>
          <w:rFonts w:ascii="Open Sans" w:eastAsia="Open Sans" w:hAnsi="Open Sans" w:cs="Open Sans"/>
          <w:sz w:val="22"/>
          <w:szCs w:val="22"/>
        </w:rPr>
      </w:pPr>
      <w:r>
        <w:rPr>
          <w:rFonts w:ascii="Open Sans" w:eastAsia="Open Sans" w:hAnsi="Open Sans" w:cs="Open Sans"/>
          <w:b/>
          <w:bCs/>
          <w:sz w:val="22"/>
          <w:szCs w:val="22"/>
        </w:rPr>
        <w:t>Scout24 es una de las empresas tecnológicas líderes en Alemania</w:t>
      </w:r>
      <w:r>
        <w:rPr>
          <w:rFonts w:ascii="Open Sans" w:eastAsia="Open Sans" w:hAnsi="Open Sans" w:cs="Open Sans"/>
          <w:sz w:val="22"/>
          <w:szCs w:val="22"/>
        </w:rPr>
        <w:t xml:space="preserve">. Con el marketplace </w:t>
      </w:r>
      <w:hyperlink r:id="rId22">
        <w:r w:rsidR="004861A7">
          <w:rPr>
            <w:rFonts w:ascii="Open Sans" w:eastAsia="Open Sans" w:hAnsi="Open Sans" w:cs="Open Sans"/>
            <w:color w:val="0000FF"/>
            <w:sz w:val="22"/>
            <w:szCs w:val="22"/>
            <w:u w:val="single"/>
          </w:rPr>
          <w:t>ImmoScout24</w:t>
        </w:r>
      </w:hyperlink>
      <w:r>
        <w:rPr>
          <w:rFonts w:ascii="Open Sans" w:eastAsia="Open Sans" w:hAnsi="Open Sans" w:cs="Open Sans"/>
          <w:sz w:val="22"/>
          <w:szCs w:val="22"/>
        </w:rPr>
        <w:t xml:space="preserve">, especializado en el sector residencial y comercial, conectamos con éxito a propietarios, agentes inmobiliarios, inquilinos y compradores desde hace más de 25 años. </w:t>
      </w:r>
    </w:p>
    <w:p w14:paraId="041DF695" w14:textId="77777777" w:rsidR="004861A7" w:rsidRDefault="004861A7" w:rsidP="00F847F3">
      <w:pPr>
        <w:pBdr>
          <w:top w:val="nil"/>
          <w:left w:val="nil"/>
          <w:bottom w:val="nil"/>
          <w:right w:val="nil"/>
          <w:between w:val="nil"/>
        </w:pBdr>
        <w:spacing w:line="276" w:lineRule="auto"/>
        <w:jc w:val="both"/>
        <w:rPr>
          <w:rFonts w:ascii="Open Sans" w:eastAsia="Open Sans" w:hAnsi="Open Sans" w:cs="Open Sans"/>
          <w:sz w:val="22"/>
          <w:szCs w:val="22"/>
        </w:rPr>
      </w:pPr>
    </w:p>
    <w:p w14:paraId="0C8970FF" w14:textId="77777777" w:rsidR="004861A7" w:rsidRDefault="00000000" w:rsidP="00F847F3">
      <w:pPr>
        <w:pBdr>
          <w:top w:val="nil"/>
          <w:left w:val="nil"/>
          <w:bottom w:val="nil"/>
          <w:right w:val="nil"/>
          <w:between w:val="nil"/>
        </w:pBdr>
        <w:spacing w:line="276" w:lineRule="auto"/>
        <w:jc w:val="both"/>
        <w:rPr>
          <w:rFonts w:ascii="Open Sans" w:eastAsia="Open Sans" w:hAnsi="Open Sans" w:cs="Open Sans"/>
          <w:sz w:val="22"/>
          <w:szCs w:val="22"/>
        </w:rPr>
      </w:pPr>
      <w:r>
        <w:rPr>
          <w:rFonts w:ascii="Open Sans" w:eastAsia="Open Sans" w:hAnsi="Open Sans" w:cs="Open Sans"/>
          <w:sz w:val="22"/>
          <w:szCs w:val="22"/>
        </w:rPr>
        <w:lastRenderedPageBreak/>
        <w:t xml:space="preserve">Con aproximadamente 19 millones de usuarios al mes en su web o aplicación, </w:t>
      </w:r>
      <w:r>
        <w:rPr>
          <w:rFonts w:ascii="Open Sans" w:eastAsia="Open Sans" w:hAnsi="Open Sans" w:cs="Open Sans"/>
          <w:b/>
          <w:bCs/>
          <w:sz w:val="22"/>
          <w:szCs w:val="22"/>
        </w:rPr>
        <w:t>ImmoScout24 es el líder del mercado en listados y búsqueda inmobiliaria digital</w:t>
      </w:r>
      <w:r>
        <w:rPr>
          <w:rFonts w:ascii="Open Sans" w:eastAsia="Open Sans" w:hAnsi="Open Sans" w:cs="Open Sans"/>
          <w:sz w:val="22"/>
          <w:szCs w:val="22"/>
        </w:rPr>
        <w:t>. Para digitalizar el proceso de las transacciones inmobiliarias, ImmoScout24 desarrolla continuamente nuevos productos y construye un ecosistema conectado y rico en datos para el alquiler, la compra y el sector inmobiliario comercial en Alemania y Austria. Scout24 es una sociedad anónima que cotiza en bolsa (ISIN: DE000A12DM80, Ticker: G24) y miembro del DAX, así como del DAX 50 ESG y el DAX 50 ESG+.</w:t>
      </w:r>
    </w:p>
    <w:p w14:paraId="0FC0A953" w14:textId="77777777" w:rsidR="004861A7" w:rsidRDefault="004861A7" w:rsidP="00F847F3">
      <w:pPr>
        <w:spacing w:line="276" w:lineRule="auto"/>
        <w:rPr>
          <w:rFonts w:ascii="Open Sans" w:eastAsia="Open Sans" w:hAnsi="Open Sans" w:cs="Open Sans"/>
        </w:rPr>
      </w:pPr>
    </w:p>
    <w:p w14:paraId="6D2CA1F4" w14:textId="77777777" w:rsidR="004861A7" w:rsidRDefault="004861A7" w:rsidP="00F847F3">
      <w:pPr>
        <w:spacing w:line="276" w:lineRule="auto"/>
        <w:rPr>
          <w:rFonts w:ascii="Open Sans Light" w:eastAsia="Open Sans Light" w:hAnsi="Open Sans Light" w:cs="Open Sans Light"/>
          <w:b/>
          <w:bCs/>
          <w:color w:val="303AB2"/>
          <w:sz w:val="22"/>
          <w:szCs w:val="22"/>
        </w:rPr>
      </w:pPr>
    </w:p>
    <w:p w14:paraId="644DEE72" w14:textId="77777777" w:rsidR="004861A7" w:rsidRDefault="004861A7" w:rsidP="00F847F3">
      <w:pPr>
        <w:spacing w:line="276" w:lineRule="auto"/>
        <w:rPr>
          <w:rFonts w:ascii="Open Sans Light" w:eastAsia="Open Sans Light" w:hAnsi="Open Sans Light" w:cs="Open Sans Light"/>
          <w:b/>
          <w:bCs/>
          <w:color w:val="303AB2"/>
          <w:sz w:val="22"/>
          <w:szCs w:val="22"/>
        </w:rPr>
      </w:pPr>
    </w:p>
    <w:p w14:paraId="1CC17F55" w14:textId="77777777" w:rsidR="004861A7" w:rsidRDefault="00000000" w:rsidP="00F847F3">
      <w:pPr>
        <w:spacing w:line="276" w:lineRule="auto"/>
        <w:rPr>
          <w:rFonts w:ascii="Open Sans Light" w:eastAsia="Open Sans Light" w:hAnsi="Open Sans Light" w:cs="Open Sans Light"/>
          <w:b/>
          <w:bCs/>
          <w:color w:val="303AB2"/>
          <w:sz w:val="22"/>
          <w:szCs w:val="22"/>
        </w:rPr>
      </w:pPr>
      <w:r>
        <w:rPr>
          <w:rFonts w:ascii="Open Sans Light" w:eastAsia="Open Sans Light" w:hAnsi="Open Sans Light" w:cs="Open Sans Light"/>
          <w:b/>
          <w:bCs/>
          <w:color w:val="303AB2"/>
          <w:sz w:val="22"/>
          <w:szCs w:val="22"/>
        </w:rPr>
        <w:t>Departamento Comunicación Fotocasa</w:t>
      </w:r>
    </w:p>
    <w:p w14:paraId="463E9348" w14:textId="77777777" w:rsidR="004861A7" w:rsidRDefault="00000000" w:rsidP="00F847F3">
      <w:pPr>
        <w:shd w:val="clear" w:color="auto" w:fill="FFFFFF"/>
        <w:spacing w:line="276" w:lineRule="auto"/>
        <w:rPr>
          <w:rFonts w:ascii="Open Sans" w:eastAsia="Open Sans" w:hAnsi="Open Sans" w:cs="Open Sans"/>
          <w:b/>
          <w:bCs/>
          <w:color w:val="000000"/>
          <w:sz w:val="22"/>
          <w:szCs w:val="22"/>
        </w:rPr>
      </w:pPr>
      <w:r>
        <w:rPr>
          <w:rFonts w:ascii="Open Sans" w:eastAsia="Open Sans" w:hAnsi="Open Sans" w:cs="Open Sans"/>
          <w:b/>
          <w:bCs/>
          <w:color w:val="000000"/>
          <w:sz w:val="22"/>
          <w:szCs w:val="22"/>
        </w:rPr>
        <w:t>Anaïs García</w:t>
      </w:r>
    </w:p>
    <w:p w14:paraId="69A4FBDC" w14:textId="77777777" w:rsidR="004861A7" w:rsidRDefault="004861A7" w:rsidP="00F847F3">
      <w:pPr>
        <w:shd w:val="clear" w:color="auto" w:fill="FFFFFF"/>
        <w:spacing w:line="276" w:lineRule="auto"/>
        <w:rPr>
          <w:rFonts w:ascii="Open Sans" w:eastAsia="Open Sans" w:hAnsi="Open Sans" w:cs="Open Sans"/>
          <w:color w:val="0000FF"/>
          <w:sz w:val="22"/>
          <w:szCs w:val="22"/>
          <w:u w:val="single"/>
        </w:rPr>
      </w:pPr>
      <w:hyperlink r:id="rId23">
        <w:r>
          <w:rPr>
            <w:rFonts w:ascii="Open Sans" w:eastAsia="Open Sans" w:hAnsi="Open Sans" w:cs="Open Sans"/>
            <w:color w:val="0000FF"/>
            <w:sz w:val="22"/>
            <w:szCs w:val="22"/>
            <w:u w:val="single"/>
          </w:rPr>
          <w:t>comunicacion@fotocasa.es</w:t>
        </w:r>
      </w:hyperlink>
    </w:p>
    <w:p w14:paraId="795F046E" w14:textId="77777777" w:rsidR="004861A7" w:rsidRDefault="00000000" w:rsidP="00F847F3">
      <w:pPr>
        <w:shd w:val="clear" w:color="auto" w:fill="FFFFFF"/>
        <w:spacing w:line="276" w:lineRule="auto"/>
        <w:rPr>
          <w:rFonts w:ascii="Open Sans" w:eastAsia="Open Sans" w:hAnsi="Open Sans" w:cs="Open Sans"/>
          <w:color w:val="000000"/>
          <w:sz w:val="22"/>
          <w:szCs w:val="22"/>
        </w:rPr>
      </w:pPr>
      <w:r>
        <w:rPr>
          <w:rFonts w:ascii="Open Sans" w:eastAsia="Open Sans" w:hAnsi="Open Sans" w:cs="Open Sans"/>
          <w:color w:val="000000"/>
          <w:sz w:val="22"/>
          <w:szCs w:val="22"/>
        </w:rPr>
        <w:t>620 66 29 26</w:t>
      </w:r>
    </w:p>
    <w:p w14:paraId="4D39E42D" w14:textId="77777777" w:rsidR="004861A7" w:rsidRDefault="004861A7">
      <w:pPr>
        <w:spacing w:line="276" w:lineRule="auto"/>
        <w:jc w:val="right"/>
        <w:rPr>
          <w:rFonts w:ascii="Open Sans" w:eastAsia="Open Sans" w:hAnsi="Open Sans" w:cs="Open Sans"/>
          <w:color w:val="000000"/>
          <w:sz w:val="22"/>
          <w:szCs w:val="22"/>
        </w:rPr>
      </w:pPr>
    </w:p>
    <w:sectPr w:rsidR="004861A7">
      <w:footerReference w:type="default" r:id="rId24"/>
      <w:pgSz w:w="11900" w:h="16840"/>
      <w:pgMar w:top="1417" w:right="1127"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EF833" w14:textId="77777777" w:rsidR="00DB3584" w:rsidRDefault="00DB3584">
      <w:r>
        <w:separator/>
      </w:r>
    </w:p>
  </w:endnote>
  <w:endnote w:type="continuationSeparator" w:id="0">
    <w:p w14:paraId="2147956A" w14:textId="77777777" w:rsidR="00DB3584" w:rsidRDefault="00DB3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63A67E6-039F-43AA-926A-D24DE006875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030C306-65CF-47E5-A415-E51F621FFDF6}"/>
    <w:embedBold r:id="rId3" w:fontKey="{F63B5DAE-0695-434E-9FB0-766CEDBF303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144FB2AA-6F9B-4BCB-BB91-ECA87856BBD3}"/>
  </w:font>
  <w:font w:name="National">
    <w:altName w:val="Calibri"/>
    <w:charset w:val="00"/>
    <w:family w:val="auto"/>
    <w:pitch w:val="default"/>
  </w:font>
  <w:font w:name="Open Sans Light">
    <w:charset w:val="00"/>
    <w:family w:val="swiss"/>
    <w:pitch w:val="variable"/>
    <w:sig w:usb0="E00002EF" w:usb1="4000205B" w:usb2="00000028" w:usb3="00000000" w:csb0="0000019F" w:csb1="00000000"/>
    <w:embedBold r:id="rId5" w:fontKey="{F8FA0056-2F57-4CED-93B2-274121E1D65C}"/>
  </w:font>
  <w:font w:name="Open Sans">
    <w:charset w:val="00"/>
    <w:family w:val="swiss"/>
    <w:pitch w:val="variable"/>
    <w:sig w:usb0="E00002EF" w:usb1="4000205B" w:usb2="00000028" w:usb3="00000000" w:csb0="0000019F" w:csb1="00000000"/>
    <w:embedRegular r:id="rId6" w:fontKey="{7F51CBF8-FD3A-4D53-861D-628B0BC20AAF}"/>
    <w:embedBold r:id="rId7" w:fontKey="{96921A0B-3FCE-4791-9E6F-32C6BD3731D2}"/>
  </w:font>
  <w:font w:name="Aptos">
    <w:charset w:val="00"/>
    <w:family w:val="swiss"/>
    <w:pitch w:val="variable"/>
    <w:sig w:usb0="20000287" w:usb1="00000003" w:usb2="00000000" w:usb3="00000000" w:csb0="0000019F" w:csb1="00000000"/>
    <w:embedRegular r:id="rId8" w:fontKey="{5FB23111-F1FF-4AE3-B993-F0981AD38A64}"/>
    <w:embedBold r:id="rId9" w:fontKey="{A0D4D78B-E785-4CAD-A534-DD8C6FB7AC84}"/>
  </w:font>
  <w:font w:name="Cambria">
    <w:panose1 w:val="02040503050406030204"/>
    <w:charset w:val="00"/>
    <w:family w:val="roman"/>
    <w:pitch w:val="variable"/>
    <w:sig w:usb0="E00006FF" w:usb1="420024FF" w:usb2="02000000" w:usb3="00000000" w:csb0="0000019F" w:csb1="00000000"/>
    <w:embedRegular r:id="rId10" w:fontKey="{18E52659-8935-4C01-9680-CFDB622815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F3E2" w14:textId="77777777" w:rsidR="004861A7"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8240" behindDoc="1" locked="0" layoutInCell="1" hidden="0" allowOverlap="1" wp14:anchorId="20B368A7" wp14:editId="1DC28B36">
          <wp:simplePos x="0" y="0"/>
          <wp:positionH relativeFrom="column">
            <wp:posOffset>-1068040</wp:posOffset>
          </wp:positionH>
          <wp:positionV relativeFrom="paragraph">
            <wp:posOffset>174608</wp:posOffset>
          </wp:positionV>
          <wp:extent cx="7670550" cy="45131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70550" cy="45131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BB484" w14:textId="77777777" w:rsidR="00DB3584" w:rsidRDefault="00DB3584">
      <w:r>
        <w:separator/>
      </w:r>
    </w:p>
  </w:footnote>
  <w:footnote w:type="continuationSeparator" w:id="0">
    <w:p w14:paraId="58768ADA" w14:textId="77777777" w:rsidR="00DB3584" w:rsidRDefault="00DB35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0A11D1"/>
    <w:multiLevelType w:val="multilevel"/>
    <w:tmpl w:val="CFD84B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08638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1A7"/>
    <w:rsid w:val="00276872"/>
    <w:rsid w:val="004861A7"/>
    <w:rsid w:val="00854B48"/>
    <w:rsid w:val="008B7D1F"/>
    <w:rsid w:val="00DB3584"/>
    <w:rsid w:val="00E36920"/>
    <w:rsid w:val="00F3567B"/>
    <w:rsid w:val="00F84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519B2"/>
  <w15:docId w15:val="{AE7FE0F8-6B81-46F6-BD1D-B19CD6FD9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otocasa.es/indice/" TargetMode="External"/><Relationship Id="rId18" Type="http://schemas.openxmlformats.org/officeDocument/2006/relationships/hyperlink" Target="https://profesionales.fotocasa.e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inmoweb.es/"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habitaclia.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otocasa.es" TargetMode="External"/><Relationship Id="rId20" Type="http://schemas.openxmlformats.org/officeDocument/2006/relationships/hyperlink" Target="https://get.witei.com/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prensa.fotocasa.es" TargetMode="External"/><Relationship Id="rId23" Type="http://schemas.openxmlformats.org/officeDocument/2006/relationships/hyperlink" Target="mailto:comunicacion@fotocasa.es" TargetMode="External"/><Relationship Id="rId10" Type="http://schemas.openxmlformats.org/officeDocument/2006/relationships/hyperlink" Target="https://www.fotocasa.es" TargetMode="External"/><Relationship Id="rId19" Type="http://schemas.openxmlformats.org/officeDocument/2006/relationships/hyperlink" Target="https://datavenues.com/" TargetMode="External"/><Relationship Id="rId4" Type="http://schemas.openxmlformats.org/officeDocument/2006/relationships/settings" Target="settings.xml"/><Relationship Id="rId9" Type="http://schemas.openxmlformats.org/officeDocument/2006/relationships/hyperlink" Target="https://research.fotocasa.es/" TargetMode="External"/><Relationship Id="rId14" Type="http://schemas.openxmlformats.org/officeDocument/2006/relationships/hyperlink" Target="https://www.research.fotocasa.es" TargetMode="External"/><Relationship Id="rId22" Type="http://schemas.openxmlformats.org/officeDocument/2006/relationships/hyperlink" Target="https://www.immobilienscout24.d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POliRSt5d0kUJ/7n+DK/kklxlA==">CgMxLjA4AHIhMVNfMWNPUmtxNXFRcXNKc3J3WDNia0MwUldfM1lYOVRK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1523</Words>
  <Characters>8687</Characters>
  <Application>Microsoft Office Word</Application>
  <DocSecurity>0</DocSecurity>
  <Lines>72</Lines>
  <Paragraphs>20</Paragraphs>
  <ScaleCrop>false</ScaleCrop>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Anais Garcia Lopez</cp:lastModifiedBy>
  <cp:revision>5</cp:revision>
  <cp:lastPrinted>2026-07-13T07:36:00Z</cp:lastPrinted>
  <dcterms:created xsi:type="dcterms:W3CDTF">2026-07-12T22:16:00Z</dcterms:created>
  <dcterms:modified xsi:type="dcterms:W3CDTF">2026-07-13T07:36:00Z</dcterms:modified>
</cp:coreProperties>
</file>