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E2646" w14:textId="77777777" w:rsidR="00EE22B1" w:rsidRDefault="00000000">
      <w:pPr>
        <w:ind w:right="-574"/>
      </w:pPr>
      <w:bookmarkStart w:id="0" w:name="_heading=h.ilwmh4751aiu" w:colFirst="0" w:colLast="0"/>
      <w:bookmarkEnd w:id="0"/>
      <w:r>
        <w:rPr>
          <w:noProof/>
        </w:rPr>
        <w:drawing>
          <wp:anchor distT="0" distB="0" distL="114300" distR="114300" simplePos="0" relativeHeight="251658240" behindDoc="0" locked="0" layoutInCell="1" hidden="0" allowOverlap="1" wp14:anchorId="2280E32E" wp14:editId="45982A29">
            <wp:simplePos x="0" y="0"/>
            <wp:positionH relativeFrom="column">
              <wp:posOffset>-1078864</wp:posOffset>
            </wp:positionH>
            <wp:positionV relativeFrom="paragraph">
              <wp:posOffset>-350451</wp:posOffset>
            </wp:positionV>
            <wp:extent cx="7581265" cy="1019175"/>
            <wp:effectExtent l="0" t="0" r="0" b="0"/>
            <wp:wrapNone/>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7581265" cy="1019175"/>
                    </a:xfrm>
                    <a:prstGeom prst="rect">
                      <a:avLst/>
                    </a:prstGeom>
                    <a:ln/>
                  </pic:spPr>
                </pic:pic>
              </a:graphicData>
            </a:graphic>
          </wp:anchor>
        </w:drawing>
      </w:r>
    </w:p>
    <w:p w14:paraId="57CF3920" w14:textId="77777777" w:rsidR="00EE22B1" w:rsidRDefault="00EE22B1">
      <w:pPr>
        <w:ind w:right="-574"/>
        <w:jc w:val="right"/>
        <w:rPr>
          <w:rFonts w:ascii="National" w:eastAsia="National" w:hAnsi="National" w:cs="National"/>
          <w:color w:val="303AB2"/>
          <w:sz w:val="36"/>
          <w:szCs w:val="36"/>
        </w:rPr>
      </w:pPr>
    </w:p>
    <w:p w14:paraId="43CF5778" w14:textId="77777777" w:rsidR="00EE22B1" w:rsidRDefault="00EE22B1">
      <w:pPr>
        <w:ind w:right="-574"/>
        <w:jc w:val="right"/>
        <w:rPr>
          <w:rFonts w:ascii="National" w:eastAsia="National" w:hAnsi="National" w:cs="National"/>
          <w:color w:val="303AB2"/>
          <w:sz w:val="36"/>
          <w:szCs w:val="36"/>
        </w:rPr>
      </w:pPr>
    </w:p>
    <w:p w14:paraId="045B5E14" w14:textId="77777777" w:rsidR="00EE22B1" w:rsidRDefault="00EE22B1">
      <w:pPr>
        <w:ind w:right="-574"/>
        <w:rPr>
          <w:rFonts w:ascii="National" w:eastAsia="National" w:hAnsi="National" w:cs="National"/>
          <w:color w:val="303AB2"/>
          <w:sz w:val="16"/>
          <w:szCs w:val="16"/>
        </w:rPr>
      </w:pPr>
    </w:p>
    <w:p w14:paraId="4034E3AE" w14:textId="77777777" w:rsidR="00EE22B1" w:rsidRDefault="00000000">
      <w:pPr>
        <w:spacing w:line="276" w:lineRule="auto"/>
        <w:ind w:right="-574"/>
        <w:jc w:val="center"/>
        <w:rPr>
          <w:rFonts w:ascii="National" w:eastAsia="National" w:hAnsi="National" w:cs="National"/>
          <w:b/>
          <w:bCs/>
          <w:color w:val="1DBDC5"/>
          <w:sz w:val="38"/>
          <w:szCs w:val="38"/>
        </w:rPr>
      </w:pPr>
      <w:bookmarkStart w:id="1" w:name="_heading=h.r0nazhib6bzd" w:colFirst="0" w:colLast="0"/>
      <w:bookmarkEnd w:id="1"/>
      <w:r>
        <w:rPr>
          <w:rFonts w:ascii="National" w:eastAsia="National" w:hAnsi="National" w:cs="National"/>
          <w:b/>
          <w:bCs/>
          <w:color w:val="1DBDC5"/>
          <w:sz w:val="38"/>
          <w:szCs w:val="38"/>
        </w:rPr>
        <w:t xml:space="preserve">T2-2026: ANÁLISIS RENTABILIDAD VIVIENDA </w:t>
      </w:r>
    </w:p>
    <w:p w14:paraId="480F6FD0" w14:textId="77777777" w:rsidR="00EE22B1" w:rsidRDefault="00000000">
      <w:pPr>
        <w:ind w:right="-574"/>
        <w:jc w:val="center"/>
        <w:rPr>
          <w:rFonts w:ascii="National" w:eastAsia="National" w:hAnsi="National" w:cs="National"/>
          <w:b/>
          <w:bCs/>
          <w:color w:val="303AB2"/>
          <w:sz w:val="46"/>
          <w:szCs w:val="46"/>
        </w:rPr>
      </w:pPr>
      <w:r>
        <w:rPr>
          <w:rFonts w:ascii="National" w:eastAsia="National" w:hAnsi="National" w:cs="National"/>
          <w:b/>
          <w:bCs/>
          <w:color w:val="303AB2"/>
          <w:sz w:val="46"/>
          <w:szCs w:val="46"/>
        </w:rPr>
        <w:t>Cae la rentabilidad de la vivienda en España y cierra el segundo trimestre con un 5,7%</w:t>
      </w:r>
    </w:p>
    <w:p w14:paraId="13416418" w14:textId="77777777" w:rsidR="00EE22B1" w:rsidRDefault="00EE22B1">
      <w:pPr>
        <w:ind w:right="-574"/>
        <w:rPr>
          <w:rFonts w:ascii="National" w:eastAsia="National" w:hAnsi="National" w:cs="National"/>
          <w:b/>
          <w:bCs/>
          <w:color w:val="303AB2"/>
          <w:sz w:val="16"/>
          <w:szCs w:val="16"/>
        </w:rPr>
      </w:pPr>
    </w:p>
    <w:p w14:paraId="4EA9A4EA" w14:textId="77777777" w:rsidR="00EE22B1" w:rsidRDefault="00000000">
      <w:pPr>
        <w:numPr>
          <w:ilvl w:val="0"/>
          <w:numId w:val="1"/>
        </w:numPr>
        <w:pBdr>
          <w:top w:val="nil"/>
          <w:left w:val="nil"/>
          <w:bottom w:val="nil"/>
          <w:right w:val="nil"/>
          <w:between w:val="nil"/>
        </w:pBdr>
        <w:spacing w:line="276" w:lineRule="auto"/>
        <w:ind w:right="-574"/>
        <w:jc w:val="both"/>
        <w:rPr>
          <w:rFonts w:ascii="Open Sans" w:eastAsia="Open Sans" w:hAnsi="Open Sans" w:cs="Open Sans"/>
          <w:color w:val="000000"/>
        </w:rPr>
      </w:pPr>
      <w:r>
        <w:rPr>
          <w:rFonts w:ascii="Open Sans" w:eastAsia="Open Sans" w:hAnsi="Open Sans" w:cs="Open Sans"/>
          <w:color w:val="000000"/>
        </w:rPr>
        <w:t xml:space="preserve">Castilla-La Mancha sigue siendo la región más rentable con un 7,8% en 2T-2026, 1,3 punto más rentable que hace 5 años (6,5% en 2021) </w:t>
      </w:r>
    </w:p>
    <w:p w14:paraId="5D2887B0" w14:textId="77777777" w:rsidR="00EE22B1" w:rsidRDefault="00000000">
      <w:pPr>
        <w:numPr>
          <w:ilvl w:val="0"/>
          <w:numId w:val="1"/>
        </w:numPr>
        <w:pBdr>
          <w:top w:val="nil"/>
          <w:left w:val="nil"/>
          <w:bottom w:val="nil"/>
          <w:right w:val="nil"/>
          <w:between w:val="nil"/>
        </w:pBdr>
        <w:spacing w:line="276" w:lineRule="auto"/>
        <w:ind w:right="-574"/>
        <w:jc w:val="both"/>
        <w:rPr>
          <w:rFonts w:ascii="Open Sans" w:eastAsia="Open Sans" w:hAnsi="Open Sans" w:cs="Open Sans"/>
          <w:color w:val="000000"/>
        </w:rPr>
      </w:pPr>
      <w:r>
        <w:rPr>
          <w:rFonts w:ascii="Open Sans" w:eastAsia="Open Sans" w:hAnsi="Open Sans" w:cs="Open Sans"/>
          <w:color w:val="000000"/>
        </w:rPr>
        <w:t xml:space="preserve">La ciudad más rentable es la almeriense El Ejido (12,2%) y la menos rentable es Donostia - San Sebastián (3,1%) </w:t>
      </w:r>
    </w:p>
    <w:p w14:paraId="76EA4D3E" w14:textId="77777777" w:rsidR="00EE22B1" w:rsidRDefault="00000000">
      <w:pPr>
        <w:numPr>
          <w:ilvl w:val="0"/>
          <w:numId w:val="1"/>
        </w:numPr>
        <w:pBdr>
          <w:top w:val="nil"/>
          <w:left w:val="nil"/>
          <w:bottom w:val="nil"/>
          <w:right w:val="nil"/>
          <w:between w:val="nil"/>
        </w:pBdr>
        <w:spacing w:line="276" w:lineRule="auto"/>
        <w:ind w:right="-574"/>
        <w:jc w:val="both"/>
        <w:rPr>
          <w:rFonts w:ascii="Open Sans" w:eastAsia="Open Sans" w:hAnsi="Open Sans" w:cs="Open Sans"/>
          <w:color w:val="000000"/>
        </w:rPr>
      </w:pPr>
      <w:r>
        <w:rPr>
          <w:rFonts w:ascii="Open Sans" w:eastAsia="Open Sans" w:hAnsi="Open Sans" w:cs="Open Sans"/>
          <w:color w:val="000000"/>
        </w:rPr>
        <w:t xml:space="preserve"> El distrito más rentable de Barcelona es Sant Andreu (7,1%), frente más rentable de Madrid, Puente de Vallecas, el (7,3%)</w:t>
      </w:r>
    </w:p>
    <w:p w14:paraId="15A2295B" w14:textId="77777777" w:rsidR="00EE22B1" w:rsidRDefault="00EE22B1">
      <w:pPr>
        <w:spacing w:line="276" w:lineRule="auto"/>
        <w:ind w:right="-574"/>
        <w:rPr>
          <w:rFonts w:ascii="Open Sans Light" w:eastAsia="Open Sans Light" w:hAnsi="Open Sans Light" w:cs="Open Sans Light"/>
          <w:color w:val="303AB2"/>
        </w:rPr>
      </w:pPr>
    </w:p>
    <w:p w14:paraId="091935D8" w14:textId="77777777" w:rsidR="00EE22B1" w:rsidRDefault="00000000">
      <w:pPr>
        <w:spacing w:line="276" w:lineRule="auto"/>
        <w:ind w:right="-574"/>
        <w:rPr>
          <w:rFonts w:ascii="Open Sans Light" w:eastAsia="Open Sans Light" w:hAnsi="Open Sans Light" w:cs="Open Sans Light"/>
          <w:b/>
          <w:bCs/>
          <w:color w:val="303AB2"/>
        </w:rPr>
      </w:pPr>
      <w:r>
        <w:rPr>
          <w:rFonts w:ascii="Open Sans Light" w:eastAsia="Open Sans Light" w:hAnsi="Open Sans Light" w:cs="Open Sans Light"/>
          <w:b/>
          <w:bCs/>
          <w:color w:val="303AB2"/>
        </w:rPr>
        <w:t>Madrid, 28 de julio de 2026</w:t>
      </w:r>
    </w:p>
    <w:p w14:paraId="27335246" w14:textId="77777777" w:rsidR="00EE22B1" w:rsidRDefault="00000000">
      <w:pPr>
        <w:pBdr>
          <w:top w:val="nil"/>
          <w:left w:val="nil"/>
          <w:bottom w:val="nil"/>
          <w:right w:val="nil"/>
          <w:between w:val="nil"/>
        </w:pBdr>
        <w:shd w:val="clear" w:color="auto" w:fill="FFFFFF"/>
        <w:spacing w:before="280" w:after="280" w:line="276" w:lineRule="auto"/>
        <w:ind w:right="-574"/>
        <w:jc w:val="both"/>
        <w:rPr>
          <w:rFonts w:ascii="Open Sans Light" w:eastAsia="Open Sans Light" w:hAnsi="Open Sans Light" w:cs="Open Sans Light"/>
          <w:b/>
          <w:bCs/>
          <w:color w:val="303AB2"/>
          <w:sz w:val="30"/>
          <w:szCs w:val="30"/>
        </w:rPr>
      </w:pPr>
      <w:r>
        <w:rPr>
          <w:rFonts w:ascii="Open Sans" w:eastAsia="Open Sans" w:hAnsi="Open Sans" w:cs="Open Sans"/>
          <w:color w:val="000000"/>
          <w:sz w:val="22"/>
          <w:szCs w:val="22"/>
        </w:rPr>
        <w:t xml:space="preserve">La rentabilidad de la vivienda en España en el segundo trimestre de 2026 se sitúa en un 5,7%, 1 punto menos que hace 5 años (un 6,7% en 2021), según el estudio de </w:t>
      </w:r>
      <w:r>
        <w:rPr>
          <w:rFonts w:ascii="Open Sans" w:eastAsia="Open Sans" w:hAnsi="Open Sans" w:cs="Open Sans"/>
          <w:b/>
          <w:bCs/>
          <w:color w:val="000000"/>
          <w:sz w:val="22"/>
          <w:szCs w:val="22"/>
        </w:rPr>
        <w:t>“</w:t>
      </w:r>
      <w:r>
        <w:rPr>
          <w:rFonts w:ascii="Open Sans" w:eastAsia="Open Sans" w:hAnsi="Open Sans" w:cs="Open Sans"/>
          <w:b/>
          <w:bCs/>
          <w:i/>
          <w:iCs/>
          <w:color w:val="000000"/>
          <w:sz w:val="22"/>
          <w:szCs w:val="22"/>
        </w:rPr>
        <w:t>La rentabilidad de la vivienda en España en 2026”,</w:t>
      </w:r>
      <w:r>
        <w:rPr>
          <w:rFonts w:ascii="Open Sans" w:eastAsia="Open Sans" w:hAnsi="Open Sans" w:cs="Open Sans"/>
          <w:color w:val="000000"/>
          <w:sz w:val="22"/>
          <w:szCs w:val="22"/>
        </w:rPr>
        <w:t xml:space="preserve"> basado en el análisis de los precios de la vivienda en venta y alquiler de junio de 2026 por el portal inmobiliario </w:t>
      </w:r>
      <w:hyperlink r:id="rId9">
        <w:r>
          <w:rPr>
            <w:rFonts w:ascii="Open Sans" w:eastAsia="Open Sans" w:hAnsi="Open Sans" w:cs="Open Sans"/>
            <w:color w:val="0000FF"/>
            <w:sz w:val="22"/>
            <w:szCs w:val="22"/>
            <w:u w:val="single"/>
          </w:rPr>
          <w:t>Fotocasa</w:t>
        </w:r>
      </w:hyperlink>
      <w:r>
        <w:rPr>
          <w:rFonts w:ascii="Open Sans" w:eastAsia="Open Sans" w:hAnsi="Open Sans" w:cs="Open Sans"/>
          <w:color w:val="000000"/>
          <w:sz w:val="22"/>
          <w:szCs w:val="22"/>
        </w:rPr>
        <w:t xml:space="preserve">. </w:t>
      </w:r>
    </w:p>
    <w:p w14:paraId="76E800BF" w14:textId="77777777" w:rsidR="00EE22B1" w:rsidRDefault="00000000">
      <w:pPr>
        <w:pBdr>
          <w:top w:val="nil"/>
          <w:left w:val="nil"/>
          <w:bottom w:val="nil"/>
          <w:right w:val="nil"/>
          <w:between w:val="nil"/>
        </w:pBdr>
        <w:shd w:val="clear" w:color="auto" w:fill="FFFFFF"/>
        <w:spacing w:before="280" w:after="280" w:line="276" w:lineRule="auto"/>
        <w:ind w:right="-574"/>
        <w:jc w:val="center"/>
        <w:rPr>
          <w:rFonts w:ascii="Open Sans Light" w:eastAsia="Open Sans Light" w:hAnsi="Open Sans Light" w:cs="Open Sans Light"/>
          <w:b/>
          <w:bCs/>
          <w:color w:val="303AB2"/>
          <w:sz w:val="30"/>
          <w:szCs w:val="30"/>
        </w:rPr>
      </w:pPr>
      <w:r>
        <w:rPr>
          <w:rFonts w:ascii="Open Sans Light" w:eastAsia="Open Sans Light" w:hAnsi="Open Sans Light" w:cs="Open Sans Light"/>
          <w:b/>
          <w:bCs/>
          <w:color w:val="303AB2"/>
          <w:sz w:val="30"/>
          <w:szCs w:val="30"/>
        </w:rPr>
        <w:t>Rentabilidad de la vivienda en España en los últimos 2T</w:t>
      </w:r>
    </w:p>
    <w:p w14:paraId="3D719DDE" w14:textId="77777777" w:rsidR="00EE22B1" w:rsidRDefault="00000000">
      <w:pPr>
        <w:pBdr>
          <w:top w:val="nil"/>
          <w:left w:val="nil"/>
          <w:bottom w:val="nil"/>
          <w:right w:val="nil"/>
          <w:between w:val="nil"/>
        </w:pBdr>
        <w:shd w:val="clear" w:color="auto" w:fill="FFFFFF"/>
        <w:spacing w:before="280" w:after="280" w:line="276" w:lineRule="auto"/>
        <w:ind w:right="-574"/>
        <w:jc w:val="center"/>
        <w:rPr>
          <w:rFonts w:ascii="Open Sans Light" w:eastAsia="Open Sans Light" w:hAnsi="Open Sans Light" w:cs="Open Sans Light"/>
          <w:b/>
          <w:bCs/>
          <w:color w:val="303AB2"/>
          <w:sz w:val="30"/>
          <w:szCs w:val="30"/>
        </w:rPr>
      </w:pPr>
      <w:r>
        <w:rPr>
          <w:rFonts w:ascii="Open Sans Light" w:eastAsia="Open Sans Light" w:hAnsi="Open Sans Light" w:cs="Open Sans Light"/>
          <w:b/>
          <w:bCs/>
          <w:noProof/>
          <w:color w:val="303AB2"/>
          <w:sz w:val="30"/>
          <w:szCs w:val="30"/>
        </w:rPr>
        <w:drawing>
          <wp:inline distT="0" distB="0" distL="0" distR="0" wp14:anchorId="7996478D" wp14:editId="1543D234">
            <wp:extent cx="5872231" cy="2650727"/>
            <wp:effectExtent l="0" t="0" r="0" b="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5872231" cy="2650727"/>
                    </a:xfrm>
                    <a:prstGeom prst="rect">
                      <a:avLst/>
                    </a:prstGeom>
                    <a:ln/>
                  </pic:spPr>
                </pic:pic>
              </a:graphicData>
            </a:graphic>
          </wp:inline>
        </w:drawing>
      </w:r>
    </w:p>
    <w:p w14:paraId="4AC21880" w14:textId="77777777" w:rsidR="00EE22B1" w:rsidRDefault="00000000">
      <w:pPr>
        <w:pBdr>
          <w:top w:val="nil"/>
          <w:left w:val="nil"/>
          <w:bottom w:val="nil"/>
          <w:right w:val="nil"/>
          <w:between w:val="nil"/>
        </w:pBdr>
        <w:shd w:val="clear" w:color="auto" w:fill="FFFFFF"/>
        <w:spacing w:before="280" w:after="280" w:line="276" w:lineRule="auto"/>
        <w:ind w:right="-574"/>
        <w:jc w:val="both"/>
        <w:rPr>
          <w:rFonts w:ascii="Open Sans" w:eastAsia="Open Sans" w:hAnsi="Open Sans" w:cs="Open Sans"/>
          <w:b/>
          <w:bCs/>
          <w:color w:val="303AB2"/>
          <w:sz w:val="28"/>
          <w:szCs w:val="28"/>
        </w:rPr>
      </w:pPr>
      <w:r>
        <w:rPr>
          <w:rFonts w:ascii="Open Sans" w:eastAsia="Open Sans" w:hAnsi="Open Sans" w:cs="Open Sans"/>
          <w:sz w:val="22"/>
          <w:szCs w:val="22"/>
        </w:rPr>
        <w:lastRenderedPageBreak/>
        <w:t xml:space="preserve">“La rentabilidad de la vivienda baja del 6% por primera vez en cinco años. Se encuentra en una fase de ajuste como consecuencia del fuerte encarecimiento del precio de compra registrado durante los últimos meses. Mientras el valor de la vivienda se ha incrementado a ritmos de doble dígito impulsado por una demanda muy intensa y una oferta insuficiente, el mercado del alquiler ha iniciado un cambio de tendencia. Las rentas ya no crecen con la misma intensidad e incluso comienzan a moderarse en algunos mercados debido a que los inquilinos han alcanzado el límite de su capacidad de pago. Esta combinación hace que la inversión inicial para adquirir una vivienda sea hoy mucho más elevada, mientras que los ingresos obtenidos por el alquiler ya no aumentan al mismo ritmo, provocando un ajuste natural del rendimiento obtenido por los propietarios”, </w:t>
      </w:r>
      <w:r>
        <w:rPr>
          <w:rFonts w:ascii="Open Sans" w:eastAsia="Open Sans" w:hAnsi="Open Sans" w:cs="Open Sans"/>
          <w:b/>
          <w:bCs/>
          <w:sz w:val="22"/>
          <w:szCs w:val="22"/>
        </w:rPr>
        <w:t>explica María Matos, directora de Estudios y portavoz de</w:t>
      </w:r>
      <w:hyperlink r:id="rId11">
        <w:r>
          <w:rPr>
            <w:rFonts w:ascii="Open Sans" w:eastAsia="Open Sans" w:hAnsi="Open Sans" w:cs="Open Sans"/>
            <w:b/>
            <w:bCs/>
            <w:color w:val="1155CC"/>
            <w:sz w:val="22"/>
            <w:szCs w:val="22"/>
            <w:u w:val="single"/>
          </w:rPr>
          <w:t xml:space="preserve"> Fotocasa</w:t>
        </w:r>
      </w:hyperlink>
      <w:r>
        <w:rPr>
          <w:rFonts w:ascii="Open Sans" w:eastAsia="Open Sans" w:hAnsi="Open Sans" w:cs="Open Sans"/>
          <w:b/>
          <w:bCs/>
          <w:sz w:val="22"/>
          <w:szCs w:val="22"/>
        </w:rPr>
        <w:t xml:space="preserve">. </w:t>
      </w:r>
    </w:p>
    <w:p w14:paraId="1332D1F3" w14:textId="77777777" w:rsidR="00EE22B1" w:rsidRDefault="00000000">
      <w:pPr>
        <w:pBdr>
          <w:top w:val="nil"/>
          <w:left w:val="nil"/>
          <w:bottom w:val="nil"/>
          <w:right w:val="nil"/>
          <w:between w:val="nil"/>
        </w:pBdr>
        <w:shd w:val="clear" w:color="auto" w:fill="FFFFFF"/>
        <w:spacing w:before="280" w:after="280" w:line="276" w:lineRule="auto"/>
        <w:ind w:right="-574"/>
        <w:jc w:val="both"/>
        <w:rPr>
          <w:rFonts w:ascii="Open Sans Light" w:eastAsia="Open Sans Light" w:hAnsi="Open Sans Light" w:cs="Open Sans Light"/>
          <w:b/>
          <w:bCs/>
          <w:color w:val="303AB2"/>
          <w:sz w:val="28"/>
          <w:szCs w:val="28"/>
        </w:rPr>
      </w:pPr>
      <w:r>
        <w:rPr>
          <w:rFonts w:ascii="Open Sans Light" w:eastAsia="Open Sans Light" w:hAnsi="Open Sans Light" w:cs="Open Sans Light"/>
          <w:b/>
          <w:bCs/>
          <w:color w:val="303AB2"/>
          <w:sz w:val="28"/>
          <w:szCs w:val="28"/>
        </w:rPr>
        <w:t>Por Comunidad Autónoma</w:t>
      </w:r>
    </w:p>
    <w:p w14:paraId="1FAD1CE3" w14:textId="77777777" w:rsidR="00EE22B1" w:rsidRDefault="00000000">
      <w:pPr>
        <w:pBdr>
          <w:top w:val="nil"/>
          <w:left w:val="nil"/>
          <w:bottom w:val="nil"/>
          <w:right w:val="nil"/>
          <w:between w:val="nil"/>
        </w:pBdr>
        <w:shd w:val="clear" w:color="auto" w:fill="FFFFFF"/>
        <w:spacing w:before="280" w:after="280" w:line="276" w:lineRule="auto"/>
        <w:ind w:right="-574"/>
        <w:jc w:val="both"/>
        <w:rPr>
          <w:rFonts w:ascii="Open Sans" w:eastAsia="Open Sans" w:hAnsi="Open Sans" w:cs="Open Sans"/>
          <w:color w:val="000000"/>
          <w:sz w:val="22"/>
          <w:szCs w:val="22"/>
        </w:rPr>
      </w:pPr>
      <w:r w:rsidRPr="007841BC">
        <w:rPr>
          <w:rFonts w:ascii="Open Sans" w:eastAsia="Open Sans" w:hAnsi="Open Sans" w:cs="Open Sans"/>
          <w:b/>
          <w:bCs/>
          <w:color w:val="000000"/>
          <w:sz w:val="22"/>
          <w:szCs w:val="22"/>
        </w:rPr>
        <w:t>La rentabilidad de la vivienda ha disminuido en 14 comunidades en el 2T-2026 y en 13 de ellas el valor es igual o está por encima de la rentabilidad de España (5,7%)</w:t>
      </w:r>
      <w:r>
        <w:rPr>
          <w:rFonts w:ascii="Open Sans" w:eastAsia="Open Sans" w:hAnsi="Open Sans" w:cs="Open Sans"/>
          <w:color w:val="000000"/>
          <w:sz w:val="22"/>
          <w:szCs w:val="22"/>
        </w:rPr>
        <w:t xml:space="preserve"> y son: Castilla-La Mancha (7,8%), Aragón (7,5%), Extremadura (6,9%), Castilla y León (6,9%), Comunitat Valenciana (6,6%), La Rioja (6,4%), Cataluña (6,3%), Navarra (6,3%), Cantabria (6,1%), Asturias (6,1%), Región de Murcia (5,9%) y Canarias (5,8%). Por debajo de la rentabilidad media se encuentran las comunidades de Galicia (5,7%), País Vasco (5,2%), Andalucía (4,9%), Madrid (4,9%) y Baleares (4,2%). </w:t>
      </w:r>
    </w:p>
    <w:p w14:paraId="4F3A007D" w14:textId="77777777" w:rsidR="00EE22B1" w:rsidRDefault="00000000">
      <w:pPr>
        <w:pBdr>
          <w:top w:val="nil"/>
          <w:left w:val="nil"/>
          <w:bottom w:val="nil"/>
          <w:right w:val="nil"/>
          <w:between w:val="nil"/>
        </w:pBdr>
        <w:shd w:val="clear" w:color="auto" w:fill="FFFFFF"/>
        <w:spacing w:before="280" w:after="280" w:line="276" w:lineRule="auto"/>
        <w:ind w:right="-574"/>
        <w:jc w:val="center"/>
        <w:rPr>
          <w:rFonts w:ascii="Open Sans Light" w:eastAsia="Open Sans Light" w:hAnsi="Open Sans Light" w:cs="Open Sans Light"/>
          <w:b/>
          <w:bCs/>
          <w:color w:val="303AB2"/>
          <w:sz w:val="30"/>
          <w:szCs w:val="30"/>
        </w:rPr>
      </w:pPr>
      <w:r>
        <w:rPr>
          <w:rFonts w:ascii="Open Sans Light" w:eastAsia="Open Sans Light" w:hAnsi="Open Sans Light" w:cs="Open Sans Light"/>
          <w:b/>
          <w:bCs/>
          <w:color w:val="303AB2"/>
          <w:sz w:val="30"/>
          <w:szCs w:val="30"/>
        </w:rPr>
        <w:t xml:space="preserve">Rentabilidad y años para recuperar la inversión - 2T-2026 </w:t>
      </w:r>
      <w:r>
        <w:rPr>
          <w:rFonts w:ascii="Times New Roman" w:eastAsia="Times New Roman" w:hAnsi="Times New Roman" w:cs="Times New Roman"/>
          <w:noProof/>
          <w:color w:val="000000"/>
        </w:rPr>
        <w:drawing>
          <wp:inline distT="0" distB="0" distL="0" distR="0" wp14:anchorId="65E3D09B" wp14:editId="6FC6C198">
            <wp:extent cx="5695974" cy="320103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5695974" cy="3201035"/>
                    </a:xfrm>
                    <a:prstGeom prst="rect">
                      <a:avLst/>
                    </a:prstGeom>
                    <a:ln/>
                  </pic:spPr>
                </pic:pic>
              </a:graphicData>
            </a:graphic>
          </wp:inline>
        </w:drawing>
      </w:r>
    </w:p>
    <w:p w14:paraId="7F3194F2" w14:textId="77777777" w:rsidR="00EE22B1" w:rsidRDefault="00EE22B1">
      <w:pPr>
        <w:pBdr>
          <w:top w:val="nil"/>
          <w:left w:val="nil"/>
          <w:bottom w:val="nil"/>
          <w:right w:val="nil"/>
          <w:between w:val="nil"/>
        </w:pBdr>
        <w:shd w:val="clear" w:color="auto" w:fill="FFFFFF"/>
        <w:spacing w:before="280" w:after="280" w:line="276" w:lineRule="auto"/>
        <w:ind w:right="-574"/>
        <w:jc w:val="center"/>
        <w:rPr>
          <w:rFonts w:ascii="Open Sans Light" w:eastAsia="Open Sans Light" w:hAnsi="Open Sans Light" w:cs="Open Sans Light"/>
          <w:b/>
          <w:bCs/>
          <w:color w:val="303AB2"/>
          <w:sz w:val="30"/>
          <w:szCs w:val="30"/>
        </w:rPr>
      </w:pPr>
    </w:p>
    <w:p w14:paraId="0553A4C9" w14:textId="77777777" w:rsidR="00EE22B1" w:rsidRDefault="00000000">
      <w:pPr>
        <w:pBdr>
          <w:top w:val="nil"/>
          <w:left w:val="nil"/>
          <w:bottom w:val="nil"/>
          <w:right w:val="nil"/>
          <w:between w:val="nil"/>
        </w:pBdr>
        <w:shd w:val="clear" w:color="auto" w:fill="FFFFFF"/>
        <w:spacing w:before="280" w:after="280" w:line="276" w:lineRule="auto"/>
        <w:ind w:right="-574"/>
        <w:jc w:val="center"/>
        <w:rPr>
          <w:rFonts w:ascii="Open Sans" w:eastAsia="Open Sans" w:hAnsi="Open Sans" w:cs="Open Sans"/>
          <w:color w:val="000000"/>
          <w:sz w:val="22"/>
          <w:szCs w:val="22"/>
        </w:rPr>
      </w:pPr>
      <w:r>
        <w:rPr>
          <w:rFonts w:ascii="Open Sans Light" w:eastAsia="Open Sans Light" w:hAnsi="Open Sans Light" w:cs="Open Sans Light"/>
          <w:b/>
          <w:bCs/>
          <w:color w:val="303AB2"/>
          <w:sz w:val="30"/>
          <w:szCs w:val="30"/>
        </w:rPr>
        <w:lastRenderedPageBreak/>
        <w:t>Mapa - Rentabilidad por CCAA en 2T-2026</w:t>
      </w:r>
    </w:p>
    <w:p w14:paraId="74E55E40" w14:textId="77777777" w:rsidR="00EE22B1" w:rsidRDefault="00000000">
      <w:pPr>
        <w:pBdr>
          <w:top w:val="nil"/>
          <w:left w:val="nil"/>
          <w:bottom w:val="nil"/>
          <w:right w:val="nil"/>
          <w:between w:val="nil"/>
        </w:pBdr>
        <w:shd w:val="clear" w:color="auto" w:fill="FFFFFF"/>
        <w:spacing w:before="280" w:after="280" w:line="276" w:lineRule="auto"/>
        <w:ind w:right="-574"/>
        <w:jc w:val="center"/>
        <w:rPr>
          <w:rFonts w:ascii="Open Sans" w:eastAsia="Open Sans" w:hAnsi="Open Sans" w:cs="Open Sans"/>
          <w:color w:val="000000"/>
          <w:sz w:val="22"/>
          <w:szCs w:val="22"/>
        </w:rPr>
      </w:pPr>
      <w:r>
        <w:rPr>
          <w:rFonts w:ascii="Open Sans" w:eastAsia="Open Sans" w:hAnsi="Open Sans" w:cs="Open Sans"/>
          <w:noProof/>
          <w:color w:val="000000"/>
          <w:sz w:val="22"/>
          <w:szCs w:val="22"/>
        </w:rPr>
        <w:drawing>
          <wp:inline distT="0" distB="0" distL="0" distR="0" wp14:anchorId="36FDC4A7" wp14:editId="406E0BD1">
            <wp:extent cx="5396230" cy="3630295"/>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5396230" cy="3630295"/>
                    </a:xfrm>
                    <a:prstGeom prst="rect">
                      <a:avLst/>
                    </a:prstGeom>
                    <a:ln/>
                  </pic:spPr>
                </pic:pic>
              </a:graphicData>
            </a:graphic>
          </wp:inline>
        </w:drawing>
      </w:r>
    </w:p>
    <w:p w14:paraId="6F57FF69" w14:textId="77777777" w:rsidR="007841BC" w:rsidRDefault="007841BC">
      <w:pPr>
        <w:pBdr>
          <w:top w:val="nil"/>
          <w:left w:val="nil"/>
          <w:bottom w:val="nil"/>
          <w:right w:val="nil"/>
          <w:between w:val="nil"/>
        </w:pBdr>
        <w:shd w:val="clear" w:color="auto" w:fill="FFFFFF"/>
        <w:spacing w:before="280" w:after="280" w:line="276" w:lineRule="auto"/>
        <w:ind w:left="-142" w:right="-574"/>
        <w:jc w:val="both"/>
        <w:rPr>
          <w:rFonts w:ascii="Open Sans Light" w:eastAsia="Open Sans Light" w:hAnsi="Open Sans Light" w:cs="Open Sans Light"/>
          <w:b/>
          <w:bCs/>
          <w:color w:val="303AB2"/>
          <w:sz w:val="28"/>
          <w:szCs w:val="28"/>
        </w:rPr>
      </w:pPr>
    </w:p>
    <w:p w14:paraId="1E5DB609" w14:textId="22DF65FA" w:rsidR="00EE22B1" w:rsidRDefault="00000000">
      <w:pPr>
        <w:pBdr>
          <w:top w:val="nil"/>
          <w:left w:val="nil"/>
          <w:bottom w:val="nil"/>
          <w:right w:val="nil"/>
          <w:between w:val="nil"/>
        </w:pBdr>
        <w:shd w:val="clear" w:color="auto" w:fill="FFFFFF"/>
        <w:spacing w:before="280" w:after="280" w:line="276" w:lineRule="auto"/>
        <w:ind w:left="-142" w:right="-574"/>
        <w:jc w:val="both"/>
        <w:rPr>
          <w:rFonts w:ascii="Open Sans Light" w:eastAsia="Open Sans Light" w:hAnsi="Open Sans Light" w:cs="Open Sans Light"/>
          <w:b/>
          <w:bCs/>
          <w:color w:val="303AB2"/>
          <w:sz w:val="28"/>
          <w:szCs w:val="28"/>
        </w:rPr>
      </w:pPr>
      <w:r>
        <w:rPr>
          <w:rFonts w:ascii="Open Sans Light" w:eastAsia="Open Sans Light" w:hAnsi="Open Sans Light" w:cs="Open Sans Light"/>
          <w:b/>
          <w:bCs/>
          <w:color w:val="303AB2"/>
          <w:sz w:val="28"/>
          <w:szCs w:val="28"/>
        </w:rPr>
        <w:t>Por municipios</w:t>
      </w:r>
    </w:p>
    <w:p w14:paraId="0C1D499F" w14:textId="77777777" w:rsidR="00EE22B1" w:rsidRDefault="00000000">
      <w:pPr>
        <w:pBdr>
          <w:top w:val="nil"/>
          <w:left w:val="nil"/>
          <w:bottom w:val="nil"/>
          <w:right w:val="nil"/>
          <w:between w:val="nil"/>
        </w:pBdr>
        <w:shd w:val="clear" w:color="auto" w:fill="FFFFFF"/>
        <w:spacing w:before="280" w:after="280" w:line="276" w:lineRule="auto"/>
        <w:ind w:left="-142" w:right="-574"/>
        <w:jc w:val="both"/>
        <w:rPr>
          <w:rFonts w:ascii="Open Sans" w:eastAsia="Open Sans" w:hAnsi="Open Sans" w:cs="Open Sans"/>
          <w:color w:val="000000"/>
          <w:sz w:val="22"/>
          <w:szCs w:val="22"/>
        </w:rPr>
      </w:pPr>
      <w:r>
        <w:rPr>
          <w:rFonts w:ascii="Open Sans" w:eastAsia="Open Sans" w:hAnsi="Open Sans" w:cs="Open Sans"/>
          <w:color w:val="000000"/>
          <w:sz w:val="22"/>
          <w:szCs w:val="22"/>
        </w:rPr>
        <w:t xml:space="preserve">El análisis de </w:t>
      </w:r>
      <w:hyperlink r:id="rId14">
        <w:r>
          <w:rPr>
            <w:rFonts w:ascii="Open Sans" w:eastAsia="Open Sans" w:hAnsi="Open Sans" w:cs="Open Sans"/>
            <w:color w:val="0000FF"/>
            <w:sz w:val="22"/>
            <w:szCs w:val="22"/>
            <w:u w:val="single"/>
          </w:rPr>
          <w:t>Fotocasa</w:t>
        </w:r>
      </w:hyperlink>
      <w:r>
        <w:rPr>
          <w:rFonts w:ascii="Open Sans" w:eastAsia="Open Sans" w:hAnsi="Open Sans" w:cs="Open Sans"/>
          <w:color w:val="000000"/>
          <w:sz w:val="22"/>
          <w:szCs w:val="22"/>
        </w:rPr>
        <w:t xml:space="preserve"> también ofrece datos de rentabilidad por municipios. Así, del análisis se desprende que el 59% de los municipios estudiados (227 municipios en total) tienen una rentabilidad igual o por encima de la media de España (5,7%). </w:t>
      </w:r>
    </w:p>
    <w:p w14:paraId="5A9DFDC6" w14:textId="77777777" w:rsidR="00EE22B1" w:rsidRDefault="00000000">
      <w:pPr>
        <w:pBdr>
          <w:top w:val="nil"/>
          <w:left w:val="nil"/>
          <w:bottom w:val="nil"/>
          <w:right w:val="nil"/>
          <w:between w:val="nil"/>
        </w:pBdr>
        <w:shd w:val="clear" w:color="auto" w:fill="FFFFFF"/>
        <w:spacing w:before="280" w:after="280" w:line="276" w:lineRule="auto"/>
        <w:ind w:left="-142" w:right="-574"/>
        <w:jc w:val="both"/>
        <w:rPr>
          <w:rFonts w:ascii="Open Sans" w:eastAsia="Open Sans" w:hAnsi="Open Sans" w:cs="Open Sans"/>
          <w:color w:val="000000"/>
          <w:sz w:val="22"/>
          <w:szCs w:val="22"/>
        </w:rPr>
      </w:pPr>
      <w:r w:rsidRPr="007841BC">
        <w:rPr>
          <w:rFonts w:ascii="Open Sans" w:eastAsia="Open Sans" w:hAnsi="Open Sans" w:cs="Open Sans"/>
          <w:b/>
          <w:bCs/>
          <w:color w:val="000000"/>
          <w:sz w:val="22"/>
          <w:szCs w:val="22"/>
        </w:rPr>
        <w:t>Hay cuatro ciudades que tienen una rentabilidad por encima del 10%</w:t>
      </w:r>
      <w:r>
        <w:rPr>
          <w:rFonts w:ascii="Open Sans" w:eastAsia="Open Sans" w:hAnsi="Open Sans" w:cs="Open Sans"/>
          <w:color w:val="000000"/>
          <w:sz w:val="22"/>
          <w:szCs w:val="22"/>
        </w:rPr>
        <w:t>, convirtiéndose en las ciudades más rentable de España en el 2T-2026. La rentabilidad de las ciudades es:</w:t>
      </w:r>
      <w:r>
        <w:rPr>
          <w:rFonts w:ascii="Times New Roman" w:eastAsia="Times New Roman" w:hAnsi="Times New Roman" w:cs="Times New Roman"/>
          <w:color w:val="000000"/>
        </w:rPr>
        <w:t xml:space="preserve"> </w:t>
      </w:r>
      <w:r>
        <w:rPr>
          <w:rFonts w:ascii="Open Sans" w:eastAsia="Open Sans" w:hAnsi="Open Sans" w:cs="Open Sans"/>
          <w:color w:val="000000"/>
          <w:sz w:val="22"/>
          <w:szCs w:val="22"/>
        </w:rPr>
        <w:t>El Ejido con 12,2%, Adra con 12,0%, Santa Coloma de Gramenet con 11,7% y Miranda de Ebro con 10,2%. Le siguen muy de cerca por encima del 8% de rentabilidad: Telde con 9,9%, Elda con 9,5%, Sueca con 9,2%, Ponferrada con 9,2%, Almendralejo con 8,9%, Valdepeñas con 8,9%, Siero con 8,9%, Badalona con 8,8%, Haro con 8,7%, Terrassa con 8,6%, Almansa con 8,5%, Puertollano con 8,5%, Mazarrón con 8,4%, Sagunto / Sagunt con 8,3%, La Línea de la Concepción con 8,3%, Úbeda con 8,3%, Zamora capital con 8,2%, Torrent con 8,2%, Vícar con 8,1%, Laredo con 8,1%, Linares con 8,1%, Dos Hermanas con 8,0%, Talavera de la Reina con 8,0% y Torrelavega con 8,0%.</w:t>
      </w:r>
    </w:p>
    <w:p w14:paraId="7A1D8ACA" w14:textId="77777777" w:rsidR="00EE22B1" w:rsidRDefault="00000000">
      <w:pPr>
        <w:pBdr>
          <w:top w:val="nil"/>
          <w:left w:val="nil"/>
          <w:bottom w:val="nil"/>
          <w:right w:val="nil"/>
          <w:between w:val="nil"/>
        </w:pBdr>
        <w:shd w:val="clear" w:color="auto" w:fill="FFFFFF"/>
        <w:spacing w:before="280" w:after="280" w:line="276" w:lineRule="auto"/>
        <w:ind w:left="-142" w:right="-574"/>
        <w:jc w:val="both"/>
        <w:rPr>
          <w:rFonts w:ascii="Open Sans" w:eastAsia="Open Sans" w:hAnsi="Open Sans" w:cs="Open Sans"/>
          <w:color w:val="000000"/>
          <w:sz w:val="22"/>
          <w:szCs w:val="22"/>
        </w:rPr>
      </w:pPr>
      <w:r>
        <w:rPr>
          <w:rFonts w:ascii="Open Sans" w:eastAsia="Open Sans" w:hAnsi="Open Sans" w:cs="Open Sans"/>
          <w:color w:val="000000"/>
          <w:sz w:val="22"/>
          <w:szCs w:val="22"/>
        </w:rPr>
        <w:t>Por otro lado</w:t>
      </w:r>
      <w:r w:rsidRPr="007841BC">
        <w:rPr>
          <w:rFonts w:ascii="Open Sans" w:eastAsia="Open Sans" w:hAnsi="Open Sans" w:cs="Open Sans"/>
          <w:b/>
          <w:bCs/>
          <w:color w:val="000000"/>
          <w:sz w:val="22"/>
          <w:szCs w:val="22"/>
        </w:rPr>
        <w:t>, el 25% de las ciudades analizadas tienen una rentabilidad inferior al 5%</w:t>
      </w:r>
      <w:r>
        <w:rPr>
          <w:rFonts w:ascii="Open Sans" w:eastAsia="Open Sans" w:hAnsi="Open Sans" w:cs="Open Sans"/>
          <w:color w:val="000000"/>
          <w:sz w:val="22"/>
          <w:szCs w:val="22"/>
        </w:rPr>
        <w:t xml:space="preserve"> y las primeras diez son: Donostia - San Sebastián con 3,1%, Santa Eulària des Riu con 3,3%, </w:t>
      </w:r>
      <w:r>
        <w:rPr>
          <w:rFonts w:ascii="Open Sans" w:eastAsia="Open Sans" w:hAnsi="Open Sans" w:cs="Open Sans"/>
          <w:color w:val="000000"/>
          <w:sz w:val="22"/>
          <w:szCs w:val="22"/>
        </w:rPr>
        <w:lastRenderedPageBreak/>
        <w:t>Calpe / Calp con 3,5%, Las Rozas de Madrid con 3,6%, Sant Cugat del Vallès con 3,6%, Vera con 3,7%, Benahavís con 3,7%, Conil de la Frontera con 3,8%, Benicasim / Benicàssim con 3,8% y Torrox con 3,8%.</w:t>
      </w:r>
    </w:p>
    <w:p w14:paraId="5A625CDE" w14:textId="77777777" w:rsidR="00EE22B1" w:rsidRDefault="00000000">
      <w:pPr>
        <w:pBdr>
          <w:top w:val="nil"/>
          <w:left w:val="nil"/>
          <w:bottom w:val="nil"/>
          <w:right w:val="nil"/>
          <w:between w:val="nil"/>
        </w:pBdr>
        <w:shd w:val="clear" w:color="auto" w:fill="FFFFFF"/>
        <w:spacing w:before="280" w:after="280" w:line="276" w:lineRule="auto"/>
        <w:ind w:right="-574"/>
        <w:jc w:val="center"/>
        <w:rPr>
          <w:rFonts w:ascii="Open Sans Light" w:eastAsia="Open Sans Light" w:hAnsi="Open Sans Light" w:cs="Open Sans Light"/>
          <w:b/>
          <w:bCs/>
          <w:color w:val="303AB2"/>
          <w:sz w:val="30"/>
          <w:szCs w:val="30"/>
        </w:rPr>
      </w:pPr>
      <w:r>
        <w:rPr>
          <w:rFonts w:ascii="Open Sans Light" w:eastAsia="Open Sans Light" w:hAnsi="Open Sans Light" w:cs="Open Sans Light"/>
          <w:b/>
          <w:bCs/>
          <w:color w:val="303AB2"/>
          <w:sz w:val="30"/>
          <w:szCs w:val="30"/>
        </w:rPr>
        <w:t>Mapa - Rentabilidad por capitales de provincia en 2T-2026</w:t>
      </w:r>
      <w:r>
        <w:rPr>
          <w:rFonts w:ascii="Open Sans Light" w:eastAsia="Open Sans Light" w:hAnsi="Open Sans Light" w:cs="Open Sans Light"/>
          <w:b/>
          <w:bCs/>
          <w:noProof/>
          <w:color w:val="303AB2"/>
          <w:sz w:val="30"/>
          <w:szCs w:val="30"/>
        </w:rPr>
        <w:drawing>
          <wp:inline distT="0" distB="0" distL="0" distR="0" wp14:anchorId="58C81FE6" wp14:editId="107CA5A1">
            <wp:extent cx="5396230" cy="3963035"/>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5396230" cy="3963035"/>
                    </a:xfrm>
                    <a:prstGeom prst="rect">
                      <a:avLst/>
                    </a:prstGeom>
                    <a:ln/>
                  </pic:spPr>
                </pic:pic>
              </a:graphicData>
            </a:graphic>
          </wp:inline>
        </w:drawing>
      </w:r>
    </w:p>
    <w:p w14:paraId="0A91A9A9" w14:textId="1DEE45F3" w:rsidR="00EE22B1" w:rsidRDefault="00000000">
      <w:pPr>
        <w:pBdr>
          <w:top w:val="nil"/>
          <w:left w:val="nil"/>
          <w:bottom w:val="nil"/>
          <w:right w:val="nil"/>
          <w:between w:val="nil"/>
        </w:pBdr>
        <w:shd w:val="clear" w:color="auto" w:fill="FFFFFF"/>
        <w:spacing w:before="280" w:after="280" w:line="276" w:lineRule="auto"/>
        <w:ind w:right="-574"/>
        <w:jc w:val="both"/>
        <w:rPr>
          <w:rFonts w:ascii="Open Sans" w:eastAsia="Open Sans" w:hAnsi="Open Sans" w:cs="Open Sans"/>
          <w:b/>
          <w:bCs/>
          <w:color w:val="303AB2"/>
          <w:sz w:val="30"/>
          <w:szCs w:val="30"/>
        </w:rPr>
      </w:pPr>
      <w:r>
        <w:rPr>
          <w:rFonts w:ascii="Open Sans" w:eastAsia="Open Sans" w:hAnsi="Open Sans" w:cs="Open Sans"/>
          <w:sz w:val="22"/>
          <w:szCs w:val="22"/>
        </w:rPr>
        <w:t xml:space="preserve">“Las mayores rentabilidades siguen concentrándose en mercados donde el precio de compra continúa siendo relativamente asequible en relación con el alquiler. Es el caso de Castilla-La Mancha, Aragón o Extremadura, donde el esfuerzo de inversión inicial es menor y eso permite obtener rendimientos más elevados. En cambio, en mercados muy tensionados como Baleares, Madrid o Málaga, el fuerte incremento del precio de la vivienda ha reducido significativamente la rentabilidad, ya que el alquiler no ha crecido al mismo ritmo que el valor del activo”, </w:t>
      </w:r>
      <w:r>
        <w:rPr>
          <w:rFonts w:ascii="Open Sans" w:eastAsia="Open Sans" w:hAnsi="Open Sans" w:cs="Open Sans"/>
          <w:b/>
          <w:bCs/>
          <w:sz w:val="22"/>
          <w:szCs w:val="22"/>
        </w:rPr>
        <w:t>explica la directora de Estudios.</w:t>
      </w:r>
    </w:p>
    <w:p w14:paraId="11267949" w14:textId="77777777" w:rsidR="00EE22B1" w:rsidRDefault="00000000">
      <w:pPr>
        <w:pBdr>
          <w:top w:val="nil"/>
          <w:left w:val="nil"/>
          <w:bottom w:val="nil"/>
          <w:right w:val="nil"/>
          <w:between w:val="nil"/>
        </w:pBdr>
        <w:shd w:val="clear" w:color="auto" w:fill="FFFFFF"/>
        <w:spacing w:before="280" w:after="280" w:line="276" w:lineRule="auto"/>
        <w:ind w:left="-142" w:right="-574"/>
        <w:jc w:val="both"/>
        <w:rPr>
          <w:rFonts w:ascii="Open Sans Light" w:eastAsia="Open Sans Light" w:hAnsi="Open Sans Light" w:cs="Open Sans Light"/>
          <w:b/>
          <w:bCs/>
          <w:color w:val="303AB2"/>
          <w:sz w:val="28"/>
          <w:szCs w:val="28"/>
        </w:rPr>
      </w:pPr>
      <w:r>
        <w:rPr>
          <w:rFonts w:ascii="Open Sans Light" w:eastAsia="Open Sans Light" w:hAnsi="Open Sans Light" w:cs="Open Sans Light"/>
          <w:b/>
          <w:bCs/>
          <w:color w:val="303AB2"/>
          <w:sz w:val="28"/>
          <w:szCs w:val="28"/>
        </w:rPr>
        <w:t>Por distritos</w:t>
      </w:r>
    </w:p>
    <w:p w14:paraId="0C07A48A" w14:textId="77777777" w:rsidR="00EE22B1" w:rsidRDefault="00000000">
      <w:pPr>
        <w:pBdr>
          <w:top w:val="nil"/>
          <w:left w:val="nil"/>
          <w:bottom w:val="nil"/>
          <w:right w:val="nil"/>
          <w:between w:val="nil"/>
        </w:pBdr>
        <w:shd w:val="clear" w:color="auto" w:fill="FFFFFF"/>
        <w:spacing w:before="280" w:after="280" w:line="276" w:lineRule="auto"/>
        <w:ind w:left="-142" w:right="-574"/>
        <w:jc w:val="both"/>
        <w:rPr>
          <w:rFonts w:ascii="Open Sans" w:eastAsia="Open Sans" w:hAnsi="Open Sans" w:cs="Open Sans"/>
          <w:color w:val="000000"/>
          <w:sz w:val="22"/>
          <w:szCs w:val="22"/>
        </w:rPr>
      </w:pPr>
      <w:r>
        <w:rPr>
          <w:rFonts w:ascii="Open Sans" w:eastAsia="Open Sans" w:hAnsi="Open Sans" w:cs="Open Sans"/>
          <w:color w:val="000000"/>
          <w:sz w:val="22"/>
          <w:szCs w:val="22"/>
        </w:rPr>
        <w:t xml:space="preserve">El análisis de </w:t>
      </w:r>
      <w:hyperlink r:id="rId16">
        <w:r>
          <w:rPr>
            <w:rFonts w:ascii="Open Sans" w:eastAsia="Open Sans" w:hAnsi="Open Sans" w:cs="Open Sans"/>
            <w:color w:val="0000FF"/>
            <w:sz w:val="22"/>
            <w:szCs w:val="22"/>
            <w:u w:val="single"/>
          </w:rPr>
          <w:t>Fotocasa</w:t>
        </w:r>
      </w:hyperlink>
      <w:r>
        <w:rPr>
          <w:rFonts w:ascii="Open Sans" w:eastAsia="Open Sans" w:hAnsi="Open Sans" w:cs="Open Sans"/>
          <w:color w:val="000000"/>
          <w:sz w:val="22"/>
          <w:szCs w:val="22"/>
        </w:rPr>
        <w:t xml:space="preserve"> también ofrece datos de los distritos más rentables para comprar una vivienda y ponerla en alquiler en las capitales de provincia.</w:t>
      </w:r>
    </w:p>
    <w:p w14:paraId="1C3FEC65" w14:textId="77777777" w:rsidR="00EE22B1" w:rsidRDefault="00000000">
      <w:pPr>
        <w:pBdr>
          <w:top w:val="nil"/>
          <w:left w:val="nil"/>
          <w:bottom w:val="nil"/>
          <w:right w:val="nil"/>
          <w:between w:val="nil"/>
        </w:pBdr>
        <w:shd w:val="clear" w:color="auto" w:fill="FFFFFF"/>
        <w:spacing w:before="280" w:after="280" w:line="276" w:lineRule="auto"/>
        <w:ind w:left="-142" w:right="-574"/>
        <w:jc w:val="both"/>
        <w:rPr>
          <w:rFonts w:ascii="Open Sans" w:eastAsia="Open Sans" w:hAnsi="Open Sans" w:cs="Open Sans"/>
          <w:color w:val="000000"/>
          <w:sz w:val="22"/>
          <w:szCs w:val="22"/>
        </w:rPr>
      </w:pPr>
      <w:r>
        <w:rPr>
          <w:rFonts w:ascii="Open Sans" w:eastAsia="Open Sans" w:hAnsi="Open Sans" w:cs="Open Sans"/>
          <w:color w:val="000000"/>
          <w:sz w:val="22"/>
          <w:szCs w:val="22"/>
        </w:rPr>
        <w:t>En cuanto a</w:t>
      </w:r>
      <w:r>
        <w:rPr>
          <w:rFonts w:ascii="Open Sans" w:eastAsia="Open Sans" w:hAnsi="Open Sans" w:cs="Open Sans"/>
          <w:b/>
          <w:bCs/>
          <w:color w:val="000000"/>
          <w:sz w:val="22"/>
          <w:szCs w:val="22"/>
        </w:rPr>
        <w:t xml:space="preserve"> Madrid capital</w:t>
      </w:r>
      <w:r>
        <w:rPr>
          <w:rFonts w:ascii="Open Sans" w:eastAsia="Open Sans" w:hAnsi="Open Sans" w:cs="Open Sans"/>
          <w:color w:val="000000"/>
          <w:sz w:val="22"/>
          <w:szCs w:val="22"/>
        </w:rPr>
        <w:t xml:space="preserve">, los ocho distritos por encima del 5% de rentabilidad son: Puente de Vallecas con 7,3%, Villaverde con 7,0%, Usera con 6,9%, Carabanchel con 6,6%, Latina con 6,4%, Vicálvaro con 5,5%, San Blas con 5,3% y Villa de Vallecas con 5,0%. Por otro </w:t>
      </w:r>
      <w:r>
        <w:rPr>
          <w:rFonts w:ascii="Open Sans" w:eastAsia="Open Sans" w:hAnsi="Open Sans" w:cs="Open Sans"/>
          <w:color w:val="000000"/>
          <w:sz w:val="22"/>
          <w:szCs w:val="22"/>
        </w:rPr>
        <w:lastRenderedPageBreak/>
        <w:t>lado, los distritos restantes son:</w:t>
      </w:r>
      <w:r>
        <w:rPr>
          <w:rFonts w:ascii="Times New Roman" w:eastAsia="Times New Roman" w:hAnsi="Times New Roman" w:cs="Times New Roman"/>
          <w:color w:val="000000"/>
        </w:rPr>
        <w:t xml:space="preserve"> </w:t>
      </w:r>
      <w:r>
        <w:rPr>
          <w:rFonts w:ascii="Open Sans" w:eastAsia="Open Sans" w:hAnsi="Open Sans" w:cs="Open Sans"/>
          <w:color w:val="000000"/>
          <w:sz w:val="22"/>
          <w:szCs w:val="22"/>
        </w:rPr>
        <w:t>Hortaleza con 4,9%, Moratalaz con 4,8%, Ciudad Lineal con 4,5%Arganzuela con 4,4%, Tetuán con 4,2%, Fuencarral - El Pardo con 4,2%, Centro con 3,6%, Moncloa - Aravaca con 3,6%, Chamartín con 3,4%, Chamberí con 3,1%, Retiro con 3,0% y Barrio de Salamanca con 2,7%.</w:t>
      </w:r>
    </w:p>
    <w:p w14:paraId="5B5CA340" w14:textId="77777777" w:rsidR="00EE22B1" w:rsidRDefault="00000000">
      <w:pPr>
        <w:pBdr>
          <w:top w:val="nil"/>
          <w:left w:val="nil"/>
          <w:bottom w:val="nil"/>
          <w:right w:val="nil"/>
          <w:between w:val="nil"/>
        </w:pBdr>
        <w:shd w:val="clear" w:color="auto" w:fill="FFFFFF"/>
        <w:spacing w:before="280" w:after="280" w:line="276" w:lineRule="auto"/>
        <w:ind w:left="-142" w:right="-574"/>
        <w:jc w:val="both"/>
        <w:rPr>
          <w:rFonts w:ascii="Open Sans" w:eastAsia="Open Sans" w:hAnsi="Open Sans" w:cs="Open Sans"/>
          <w:color w:val="000000"/>
          <w:sz w:val="22"/>
          <w:szCs w:val="22"/>
        </w:rPr>
      </w:pPr>
      <w:bookmarkStart w:id="2" w:name="_heading=h.4fodo366xe7k" w:colFirst="0" w:colLast="0"/>
      <w:bookmarkEnd w:id="2"/>
      <w:r>
        <w:rPr>
          <w:rFonts w:ascii="Open Sans" w:eastAsia="Open Sans" w:hAnsi="Open Sans" w:cs="Open Sans"/>
          <w:color w:val="000000"/>
          <w:sz w:val="22"/>
          <w:szCs w:val="22"/>
        </w:rPr>
        <w:t>En cuanto a</w:t>
      </w:r>
      <w:r>
        <w:rPr>
          <w:rFonts w:ascii="Open Sans" w:eastAsia="Open Sans" w:hAnsi="Open Sans" w:cs="Open Sans"/>
          <w:b/>
          <w:bCs/>
          <w:color w:val="000000"/>
          <w:sz w:val="22"/>
          <w:szCs w:val="22"/>
        </w:rPr>
        <w:t xml:space="preserve"> Barcelona capital</w:t>
      </w:r>
      <w:r>
        <w:rPr>
          <w:rFonts w:ascii="Open Sans" w:eastAsia="Open Sans" w:hAnsi="Open Sans" w:cs="Open Sans"/>
          <w:color w:val="000000"/>
          <w:sz w:val="22"/>
          <w:szCs w:val="22"/>
        </w:rPr>
        <w:t>, el orden de la rentabilidad de los distritos es: Sant Andreu con 7,1%, Ciutat Vella con 5,3%, Sants - Montjuïc con 5,3%, ant Martí con 5,0%, Horta - Guinardó con 4,9%, Les Corts con 4,3%, Eixample con 3,9%, Gràcia con 3,9% y Sarrià - Sant Gervasi con 3,6%.</w:t>
      </w:r>
    </w:p>
    <w:p w14:paraId="0BEFAFCF" w14:textId="77777777" w:rsidR="00EE22B1" w:rsidRDefault="00000000">
      <w:pPr>
        <w:pBdr>
          <w:top w:val="nil"/>
          <w:left w:val="nil"/>
          <w:bottom w:val="nil"/>
          <w:right w:val="nil"/>
          <w:between w:val="nil"/>
        </w:pBdr>
        <w:shd w:val="clear" w:color="auto" w:fill="FFFFFF"/>
        <w:spacing w:before="280" w:after="280" w:line="276" w:lineRule="auto"/>
        <w:ind w:left="-142" w:right="-574"/>
        <w:jc w:val="both"/>
        <w:rPr>
          <w:rFonts w:ascii="Open Sans" w:eastAsia="Open Sans" w:hAnsi="Open Sans" w:cs="Open Sans"/>
          <w:color w:val="000000"/>
          <w:sz w:val="22"/>
          <w:szCs w:val="22"/>
        </w:rPr>
      </w:pPr>
      <w:r>
        <w:rPr>
          <w:rFonts w:ascii="Open Sans Light" w:eastAsia="Open Sans Light" w:hAnsi="Open Sans Light" w:cs="Open Sans Light"/>
          <w:b/>
          <w:bCs/>
          <w:color w:val="303AB2"/>
        </w:rPr>
        <w:t>Tablas (5)</w:t>
      </w:r>
    </w:p>
    <w:p w14:paraId="05385EB6" w14:textId="77777777" w:rsidR="00EE22B1" w:rsidRDefault="00000000">
      <w:pPr>
        <w:pBdr>
          <w:top w:val="nil"/>
          <w:left w:val="nil"/>
          <w:bottom w:val="nil"/>
          <w:right w:val="nil"/>
          <w:between w:val="nil"/>
        </w:pBdr>
        <w:shd w:val="clear" w:color="auto" w:fill="FFFFFF"/>
        <w:spacing w:before="280" w:after="280" w:line="276" w:lineRule="auto"/>
        <w:ind w:left="-142" w:right="-574"/>
        <w:jc w:val="both"/>
        <w:rPr>
          <w:rFonts w:ascii="Open Sans Light" w:eastAsia="Open Sans Light" w:hAnsi="Open Sans Light" w:cs="Open Sans Light"/>
          <w:b/>
          <w:bCs/>
          <w:color w:val="303AB2"/>
          <w:sz w:val="28"/>
          <w:szCs w:val="28"/>
        </w:rPr>
      </w:pPr>
      <w:r>
        <w:rPr>
          <w:rFonts w:ascii="Open Sans Light" w:eastAsia="Open Sans Light" w:hAnsi="Open Sans Light" w:cs="Open Sans Light"/>
          <w:b/>
          <w:bCs/>
          <w:color w:val="303AB2"/>
        </w:rPr>
        <w:t>Tabla 1. Rentabilidad de la vivienda por CCAA en 2016, 2021, 2025 y 2026</w:t>
      </w:r>
    </w:p>
    <w:tbl>
      <w:tblPr>
        <w:tblStyle w:val="a"/>
        <w:tblW w:w="9019"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2263"/>
        <w:gridCol w:w="1985"/>
        <w:gridCol w:w="1559"/>
        <w:gridCol w:w="1701"/>
        <w:gridCol w:w="1511"/>
      </w:tblGrid>
      <w:tr w:rsidR="00EE22B1" w14:paraId="3E18CBDD" w14:textId="77777777">
        <w:trPr>
          <w:trHeight w:val="549"/>
        </w:trPr>
        <w:tc>
          <w:tcPr>
            <w:tcW w:w="2263" w:type="dxa"/>
            <w:tcBorders>
              <w:top w:val="single" w:sz="4" w:space="0" w:color="FFFFFF"/>
              <w:left w:val="single" w:sz="4" w:space="0" w:color="FFFFFF"/>
              <w:right w:val="nil"/>
            </w:tcBorders>
            <w:shd w:val="clear" w:color="auto" w:fill="4472C4"/>
            <w:vAlign w:val="center"/>
          </w:tcPr>
          <w:p w14:paraId="5E961CAB" w14:textId="77777777" w:rsidR="00EE22B1" w:rsidRDefault="00000000">
            <w:pPr>
              <w:rPr>
                <w:rFonts w:ascii="Open Sans" w:eastAsia="Open Sans" w:hAnsi="Open Sans" w:cs="Open Sans"/>
                <w:color w:val="FFFFFF"/>
                <w:sz w:val="22"/>
                <w:szCs w:val="22"/>
              </w:rPr>
            </w:pPr>
            <w:r>
              <w:rPr>
                <w:rFonts w:ascii="Open Sans" w:eastAsia="Open Sans" w:hAnsi="Open Sans" w:cs="Open Sans"/>
                <w:color w:val="FFFFFF"/>
                <w:sz w:val="22"/>
                <w:szCs w:val="22"/>
              </w:rPr>
              <w:t>Comunidades Autónomas</w:t>
            </w:r>
          </w:p>
        </w:tc>
        <w:tc>
          <w:tcPr>
            <w:tcW w:w="1985" w:type="dxa"/>
            <w:tcBorders>
              <w:top w:val="single" w:sz="4" w:space="0" w:color="FFFFFF"/>
              <w:left w:val="nil"/>
              <w:right w:val="nil"/>
            </w:tcBorders>
            <w:shd w:val="clear" w:color="auto" w:fill="4472C4"/>
            <w:vAlign w:val="center"/>
          </w:tcPr>
          <w:p w14:paraId="3FD6C0EF" w14:textId="77777777" w:rsidR="00EE22B1" w:rsidRDefault="00000000">
            <w:pPr>
              <w:pBdr>
                <w:top w:val="nil"/>
                <w:left w:val="nil"/>
                <w:bottom w:val="nil"/>
                <w:right w:val="nil"/>
                <w:between w:val="nil"/>
              </w:pBdr>
              <w:jc w:val="center"/>
              <w:rPr>
                <w:rFonts w:ascii="Open Sans" w:eastAsia="Open Sans" w:hAnsi="Open Sans" w:cs="Open Sans"/>
                <w:color w:val="FFFFFF"/>
                <w:sz w:val="22"/>
                <w:szCs w:val="22"/>
              </w:rPr>
            </w:pPr>
            <w:r>
              <w:rPr>
                <w:rFonts w:ascii="Open Sans" w:eastAsia="Open Sans" w:hAnsi="Open Sans" w:cs="Open Sans"/>
                <w:color w:val="FFFFFF"/>
                <w:sz w:val="22"/>
                <w:szCs w:val="22"/>
              </w:rPr>
              <w:t>Rentabilidad</w:t>
            </w:r>
          </w:p>
          <w:p w14:paraId="2CB4717C" w14:textId="77777777" w:rsidR="00EE22B1" w:rsidRDefault="00000000">
            <w:pPr>
              <w:pBdr>
                <w:top w:val="nil"/>
                <w:left w:val="nil"/>
                <w:bottom w:val="nil"/>
                <w:right w:val="nil"/>
                <w:between w:val="nil"/>
              </w:pBdr>
              <w:jc w:val="center"/>
              <w:rPr>
                <w:rFonts w:ascii="Open Sans" w:eastAsia="Open Sans" w:hAnsi="Open Sans" w:cs="Open Sans"/>
                <w:color w:val="FFFFFF"/>
                <w:sz w:val="22"/>
                <w:szCs w:val="22"/>
              </w:rPr>
            </w:pPr>
            <w:r>
              <w:rPr>
                <w:rFonts w:ascii="Open Sans" w:eastAsia="Open Sans" w:hAnsi="Open Sans" w:cs="Open Sans"/>
                <w:color w:val="FFFFFF"/>
                <w:sz w:val="22"/>
                <w:szCs w:val="22"/>
              </w:rPr>
              <w:t>2T-2016</w:t>
            </w:r>
          </w:p>
          <w:p w14:paraId="217261AA" w14:textId="77777777" w:rsidR="00EE22B1" w:rsidRDefault="00000000">
            <w:pPr>
              <w:pBdr>
                <w:top w:val="nil"/>
                <w:left w:val="nil"/>
                <w:bottom w:val="nil"/>
                <w:right w:val="nil"/>
                <w:between w:val="nil"/>
              </w:pBdr>
              <w:jc w:val="center"/>
              <w:rPr>
                <w:rFonts w:ascii="Open Sans" w:eastAsia="Open Sans" w:hAnsi="Open Sans" w:cs="Open Sans"/>
                <w:color w:val="FFFFFF"/>
                <w:sz w:val="22"/>
                <w:szCs w:val="22"/>
              </w:rPr>
            </w:pPr>
            <w:r>
              <w:rPr>
                <w:rFonts w:ascii="Open Sans" w:eastAsia="Open Sans" w:hAnsi="Open Sans" w:cs="Open Sans"/>
                <w:color w:val="FFFFFF"/>
                <w:sz w:val="22"/>
                <w:szCs w:val="22"/>
              </w:rPr>
              <w:t>(10 años)</w:t>
            </w:r>
          </w:p>
        </w:tc>
        <w:tc>
          <w:tcPr>
            <w:tcW w:w="1559" w:type="dxa"/>
            <w:tcBorders>
              <w:top w:val="single" w:sz="4" w:space="0" w:color="FFFFFF"/>
              <w:left w:val="nil"/>
              <w:right w:val="nil"/>
            </w:tcBorders>
            <w:shd w:val="clear" w:color="auto" w:fill="4472C4"/>
            <w:vAlign w:val="center"/>
          </w:tcPr>
          <w:p w14:paraId="3C197267" w14:textId="77777777" w:rsidR="00EE22B1" w:rsidRDefault="00000000">
            <w:pPr>
              <w:pBdr>
                <w:top w:val="nil"/>
                <w:left w:val="nil"/>
                <w:bottom w:val="nil"/>
                <w:right w:val="nil"/>
                <w:between w:val="nil"/>
              </w:pBdr>
              <w:jc w:val="center"/>
              <w:rPr>
                <w:rFonts w:ascii="Open Sans" w:eastAsia="Open Sans" w:hAnsi="Open Sans" w:cs="Open Sans"/>
                <w:color w:val="FFFFFF"/>
                <w:sz w:val="22"/>
                <w:szCs w:val="22"/>
              </w:rPr>
            </w:pPr>
            <w:r>
              <w:rPr>
                <w:rFonts w:ascii="Open Sans" w:eastAsia="Open Sans" w:hAnsi="Open Sans" w:cs="Open Sans"/>
                <w:color w:val="FFFFFF"/>
                <w:sz w:val="22"/>
                <w:szCs w:val="22"/>
              </w:rPr>
              <w:t>Rentabilidad</w:t>
            </w:r>
          </w:p>
          <w:p w14:paraId="3746A360" w14:textId="77777777" w:rsidR="00EE22B1" w:rsidRDefault="00000000">
            <w:pPr>
              <w:pBdr>
                <w:top w:val="nil"/>
                <w:left w:val="nil"/>
                <w:bottom w:val="nil"/>
                <w:right w:val="nil"/>
                <w:between w:val="nil"/>
              </w:pBdr>
              <w:jc w:val="center"/>
              <w:rPr>
                <w:rFonts w:ascii="Open Sans" w:eastAsia="Open Sans" w:hAnsi="Open Sans" w:cs="Open Sans"/>
                <w:color w:val="FFFFFF"/>
                <w:sz w:val="22"/>
                <w:szCs w:val="22"/>
              </w:rPr>
            </w:pPr>
            <w:r>
              <w:rPr>
                <w:rFonts w:ascii="Open Sans" w:eastAsia="Open Sans" w:hAnsi="Open Sans" w:cs="Open Sans"/>
                <w:color w:val="FFFFFF"/>
                <w:sz w:val="22"/>
                <w:szCs w:val="22"/>
              </w:rPr>
              <w:t>2T-2021</w:t>
            </w:r>
          </w:p>
          <w:p w14:paraId="2BF65811" w14:textId="77777777" w:rsidR="00EE22B1" w:rsidRDefault="00000000">
            <w:pPr>
              <w:pBdr>
                <w:top w:val="nil"/>
                <w:left w:val="nil"/>
                <w:bottom w:val="nil"/>
                <w:right w:val="nil"/>
                <w:between w:val="nil"/>
              </w:pBdr>
              <w:jc w:val="center"/>
              <w:rPr>
                <w:rFonts w:ascii="Open Sans" w:eastAsia="Open Sans" w:hAnsi="Open Sans" w:cs="Open Sans"/>
                <w:color w:val="FFFFFF"/>
                <w:sz w:val="22"/>
                <w:szCs w:val="22"/>
              </w:rPr>
            </w:pPr>
            <w:r>
              <w:rPr>
                <w:rFonts w:ascii="Open Sans" w:eastAsia="Open Sans" w:hAnsi="Open Sans" w:cs="Open Sans"/>
                <w:color w:val="FFFFFF"/>
                <w:sz w:val="22"/>
                <w:szCs w:val="22"/>
              </w:rPr>
              <w:t>(5 años)</w:t>
            </w:r>
          </w:p>
        </w:tc>
        <w:tc>
          <w:tcPr>
            <w:tcW w:w="1701" w:type="dxa"/>
            <w:tcBorders>
              <w:top w:val="single" w:sz="4" w:space="0" w:color="FFFFFF"/>
              <w:left w:val="nil"/>
              <w:right w:val="nil"/>
            </w:tcBorders>
            <w:shd w:val="clear" w:color="auto" w:fill="4472C4"/>
            <w:vAlign w:val="center"/>
          </w:tcPr>
          <w:p w14:paraId="249D54E0" w14:textId="77777777" w:rsidR="00EE22B1" w:rsidRDefault="00000000">
            <w:pPr>
              <w:pBdr>
                <w:top w:val="nil"/>
                <w:left w:val="nil"/>
                <w:bottom w:val="nil"/>
                <w:right w:val="nil"/>
                <w:between w:val="nil"/>
              </w:pBdr>
              <w:jc w:val="center"/>
              <w:rPr>
                <w:rFonts w:ascii="Open Sans" w:eastAsia="Open Sans" w:hAnsi="Open Sans" w:cs="Open Sans"/>
                <w:color w:val="FFFFFF"/>
                <w:sz w:val="22"/>
                <w:szCs w:val="22"/>
              </w:rPr>
            </w:pPr>
            <w:r>
              <w:rPr>
                <w:rFonts w:ascii="Open Sans" w:eastAsia="Open Sans" w:hAnsi="Open Sans" w:cs="Open Sans"/>
                <w:color w:val="FFFFFF"/>
                <w:sz w:val="22"/>
                <w:szCs w:val="22"/>
              </w:rPr>
              <w:t>Rentabilidad</w:t>
            </w:r>
          </w:p>
          <w:p w14:paraId="42CDE0E7" w14:textId="77777777" w:rsidR="00EE22B1" w:rsidRDefault="00000000">
            <w:pPr>
              <w:pBdr>
                <w:top w:val="nil"/>
                <w:left w:val="nil"/>
                <w:bottom w:val="nil"/>
                <w:right w:val="nil"/>
                <w:between w:val="nil"/>
              </w:pBdr>
              <w:jc w:val="center"/>
              <w:rPr>
                <w:rFonts w:ascii="Open Sans" w:eastAsia="Open Sans" w:hAnsi="Open Sans" w:cs="Open Sans"/>
                <w:color w:val="FFFFFF"/>
                <w:sz w:val="22"/>
                <w:szCs w:val="22"/>
              </w:rPr>
            </w:pPr>
            <w:r>
              <w:rPr>
                <w:rFonts w:ascii="Open Sans" w:eastAsia="Open Sans" w:hAnsi="Open Sans" w:cs="Open Sans"/>
                <w:color w:val="FFFFFF"/>
                <w:sz w:val="22"/>
                <w:szCs w:val="22"/>
              </w:rPr>
              <w:t>2T-2025</w:t>
            </w:r>
          </w:p>
          <w:p w14:paraId="6F39DB5A" w14:textId="77777777" w:rsidR="00EE22B1" w:rsidRDefault="00000000">
            <w:pPr>
              <w:pBdr>
                <w:top w:val="nil"/>
                <w:left w:val="nil"/>
                <w:bottom w:val="nil"/>
                <w:right w:val="nil"/>
                <w:between w:val="nil"/>
              </w:pBdr>
              <w:jc w:val="center"/>
              <w:rPr>
                <w:rFonts w:ascii="Open Sans" w:eastAsia="Open Sans" w:hAnsi="Open Sans" w:cs="Open Sans"/>
                <w:i/>
                <w:iCs/>
                <w:color w:val="FFFFFF"/>
                <w:sz w:val="22"/>
                <w:szCs w:val="22"/>
              </w:rPr>
            </w:pPr>
            <w:r>
              <w:rPr>
                <w:rFonts w:ascii="Open Sans" w:eastAsia="Open Sans" w:hAnsi="Open Sans" w:cs="Open Sans"/>
                <w:color w:val="FFFFFF"/>
                <w:sz w:val="22"/>
                <w:szCs w:val="22"/>
              </w:rPr>
              <w:t>(1 año)</w:t>
            </w:r>
          </w:p>
        </w:tc>
        <w:tc>
          <w:tcPr>
            <w:tcW w:w="1511" w:type="dxa"/>
            <w:tcBorders>
              <w:top w:val="single" w:sz="4" w:space="0" w:color="FFFFFF"/>
              <w:left w:val="nil"/>
              <w:right w:val="nil"/>
            </w:tcBorders>
            <w:shd w:val="clear" w:color="auto" w:fill="4472C4"/>
            <w:vAlign w:val="center"/>
          </w:tcPr>
          <w:p w14:paraId="19A0F8F2" w14:textId="77777777" w:rsidR="00EE22B1" w:rsidRDefault="00000000">
            <w:pPr>
              <w:pBdr>
                <w:top w:val="nil"/>
                <w:left w:val="nil"/>
                <w:bottom w:val="nil"/>
                <w:right w:val="nil"/>
                <w:between w:val="nil"/>
              </w:pBdr>
              <w:jc w:val="center"/>
              <w:rPr>
                <w:rFonts w:ascii="Open Sans" w:eastAsia="Open Sans" w:hAnsi="Open Sans" w:cs="Open Sans"/>
                <w:color w:val="FFFFFF"/>
                <w:sz w:val="22"/>
                <w:szCs w:val="22"/>
              </w:rPr>
            </w:pPr>
            <w:r>
              <w:rPr>
                <w:rFonts w:ascii="Open Sans" w:eastAsia="Open Sans" w:hAnsi="Open Sans" w:cs="Open Sans"/>
                <w:color w:val="FFFFFF"/>
                <w:sz w:val="22"/>
                <w:szCs w:val="22"/>
              </w:rPr>
              <w:t>Rentabilidad</w:t>
            </w:r>
          </w:p>
          <w:p w14:paraId="4F7B0918" w14:textId="77777777" w:rsidR="00EE22B1" w:rsidRDefault="00000000">
            <w:pPr>
              <w:pBdr>
                <w:top w:val="nil"/>
                <w:left w:val="nil"/>
                <w:bottom w:val="nil"/>
                <w:right w:val="nil"/>
                <w:between w:val="nil"/>
              </w:pBdr>
              <w:jc w:val="center"/>
              <w:rPr>
                <w:rFonts w:ascii="Open Sans" w:eastAsia="Open Sans" w:hAnsi="Open Sans" w:cs="Open Sans"/>
                <w:color w:val="FFFFFF"/>
                <w:sz w:val="22"/>
                <w:szCs w:val="22"/>
              </w:rPr>
            </w:pPr>
            <w:r>
              <w:rPr>
                <w:rFonts w:ascii="Open Sans" w:eastAsia="Open Sans" w:hAnsi="Open Sans" w:cs="Open Sans"/>
                <w:color w:val="FFFFFF"/>
                <w:sz w:val="22"/>
                <w:szCs w:val="22"/>
              </w:rPr>
              <w:t>2T-2026</w:t>
            </w:r>
          </w:p>
        </w:tc>
      </w:tr>
      <w:tr w:rsidR="00EE22B1" w14:paraId="6DA38F11" w14:textId="77777777">
        <w:trPr>
          <w:trHeight w:val="273"/>
        </w:trPr>
        <w:tc>
          <w:tcPr>
            <w:tcW w:w="2263" w:type="dxa"/>
            <w:tcBorders>
              <w:left w:val="single" w:sz="4" w:space="0" w:color="FFFFFF"/>
            </w:tcBorders>
            <w:shd w:val="clear" w:color="auto" w:fill="4472C4"/>
            <w:vAlign w:val="bottom"/>
          </w:tcPr>
          <w:p w14:paraId="5851B793" w14:textId="77777777" w:rsidR="00EE22B1" w:rsidRDefault="00000000">
            <w:pPr>
              <w:rPr>
                <w:rFonts w:ascii="Open Sans" w:eastAsia="Open Sans" w:hAnsi="Open Sans" w:cs="Open Sans"/>
                <w:color w:val="FFFFFF"/>
                <w:sz w:val="22"/>
                <w:szCs w:val="22"/>
              </w:rPr>
            </w:pPr>
            <w:r>
              <w:rPr>
                <w:rFonts w:ascii="Open Sans" w:eastAsia="Open Sans" w:hAnsi="Open Sans" w:cs="Open Sans"/>
                <w:color w:val="FFFFFF"/>
                <w:sz w:val="22"/>
                <w:szCs w:val="22"/>
              </w:rPr>
              <w:t>Castilla-La Mancha</w:t>
            </w:r>
          </w:p>
        </w:tc>
        <w:tc>
          <w:tcPr>
            <w:tcW w:w="1985" w:type="dxa"/>
            <w:shd w:val="clear" w:color="auto" w:fill="B4C6E7"/>
            <w:vAlign w:val="bottom"/>
          </w:tcPr>
          <w:p w14:paraId="51FC5785" w14:textId="77777777" w:rsidR="00EE22B1" w:rsidRDefault="00000000">
            <w:pPr>
              <w:jc w:val="center"/>
              <w:rPr>
                <w:rFonts w:ascii="Open Sans" w:eastAsia="Open Sans" w:hAnsi="Open Sans" w:cs="Open Sans"/>
                <w:color w:val="000000"/>
                <w:sz w:val="22"/>
                <w:szCs w:val="22"/>
              </w:rPr>
            </w:pPr>
            <w:r>
              <w:rPr>
                <w:rFonts w:ascii="Open Sans" w:eastAsia="Open Sans" w:hAnsi="Open Sans" w:cs="Open Sans"/>
                <w:color w:val="000000"/>
                <w:sz w:val="22"/>
                <w:szCs w:val="22"/>
              </w:rPr>
              <w:t>5,4%</w:t>
            </w:r>
          </w:p>
        </w:tc>
        <w:tc>
          <w:tcPr>
            <w:tcW w:w="1559" w:type="dxa"/>
            <w:shd w:val="clear" w:color="auto" w:fill="B4C6E7"/>
            <w:vAlign w:val="bottom"/>
          </w:tcPr>
          <w:p w14:paraId="58B67057" w14:textId="77777777" w:rsidR="00EE22B1" w:rsidRDefault="00000000">
            <w:pPr>
              <w:jc w:val="center"/>
              <w:rPr>
                <w:rFonts w:ascii="Open Sans" w:eastAsia="Open Sans" w:hAnsi="Open Sans" w:cs="Open Sans"/>
                <w:color w:val="000000"/>
                <w:sz w:val="22"/>
                <w:szCs w:val="22"/>
              </w:rPr>
            </w:pPr>
            <w:r>
              <w:rPr>
                <w:rFonts w:ascii="Open Sans" w:eastAsia="Open Sans" w:hAnsi="Open Sans" w:cs="Open Sans"/>
                <w:color w:val="000000"/>
                <w:sz w:val="22"/>
                <w:szCs w:val="22"/>
              </w:rPr>
              <w:t>6,5%</w:t>
            </w:r>
          </w:p>
        </w:tc>
        <w:tc>
          <w:tcPr>
            <w:tcW w:w="1701" w:type="dxa"/>
            <w:shd w:val="clear" w:color="auto" w:fill="B4C6E7"/>
            <w:vAlign w:val="bottom"/>
          </w:tcPr>
          <w:p w14:paraId="6A00B071" w14:textId="77777777" w:rsidR="00EE22B1" w:rsidRDefault="00000000">
            <w:pPr>
              <w:jc w:val="center"/>
              <w:rPr>
                <w:rFonts w:ascii="Open Sans" w:eastAsia="Open Sans" w:hAnsi="Open Sans" w:cs="Open Sans"/>
                <w:b/>
                <w:bCs/>
                <w:color w:val="000000"/>
                <w:sz w:val="22"/>
                <w:szCs w:val="22"/>
              </w:rPr>
            </w:pPr>
            <w:r>
              <w:rPr>
                <w:rFonts w:ascii="Open Sans" w:eastAsia="Open Sans" w:hAnsi="Open Sans" w:cs="Open Sans"/>
                <w:color w:val="000000"/>
                <w:sz w:val="22"/>
                <w:szCs w:val="22"/>
              </w:rPr>
              <w:t>7,9%</w:t>
            </w:r>
          </w:p>
        </w:tc>
        <w:tc>
          <w:tcPr>
            <w:tcW w:w="1511" w:type="dxa"/>
            <w:shd w:val="clear" w:color="auto" w:fill="B4C6E7"/>
            <w:vAlign w:val="bottom"/>
          </w:tcPr>
          <w:p w14:paraId="377DBC0A" w14:textId="77777777" w:rsidR="00EE22B1" w:rsidRDefault="00000000">
            <w:pPr>
              <w:jc w:val="center"/>
              <w:rPr>
                <w:rFonts w:ascii="Open Sans" w:eastAsia="Open Sans" w:hAnsi="Open Sans" w:cs="Open Sans"/>
                <w:b/>
                <w:bCs/>
                <w:color w:val="000000"/>
                <w:sz w:val="22"/>
                <w:szCs w:val="22"/>
              </w:rPr>
            </w:pPr>
            <w:r>
              <w:rPr>
                <w:rFonts w:ascii="Open Sans" w:eastAsia="Open Sans" w:hAnsi="Open Sans" w:cs="Open Sans"/>
                <w:b/>
                <w:bCs/>
                <w:color w:val="000000"/>
                <w:sz w:val="22"/>
                <w:szCs w:val="22"/>
              </w:rPr>
              <w:t>7,8%</w:t>
            </w:r>
          </w:p>
        </w:tc>
      </w:tr>
      <w:tr w:rsidR="00EE22B1" w14:paraId="0081EA41" w14:textId="77777777">
        <w:trPr>
          <w:trHeight w:val="273"/>
        </w:trPr>
        <w:tc>
          <w:tcPr>
            <w:tcW w:w="2263" w:type="dxa"/>
            <w:tcBorders>
              <w:left w:val="single" w:sz="4" w:space="0" w:color="FFFFFF"/>
            </w:tcBorders>
            <w:shd w:val="clear" w:color="auto" w:fill="4472C4"/>
            <w:vAlign w:val="bottom"/>
          </w:tcPr>
          <w:p w14:paraId="36B46B4C" w14:textId="77777777" w:rsidR="00EE22B1" w:rsidRDefault="00000000">
            <w:pPr>
              <w:rPr>
                <w:rFonts w:ascii="Open Sans" w:eastAsia="Open Sans" w:hAnsi="Open Sans" w:cs="Open Sans"/>
                <w:color w:val="FFFFFF"/>
                <w:sz w:val="22"/>
                <w:szCs w:val="22"/>
              </w:rPr>
            </w:pPr>
            <w:r>
              <w:rPr>
                <w:rFonts w:ascii="Open Sans" w:eastAsia="Open Sans" w:hAnsi="Open Sans" w:cs="Open Sans"/>
                <w:color w:val="FFFFFF"/>
                <w:sz w:val="22"/>
                <w:szCs w:val="22"/>
              </w:rPr>
              <w:t>Aragón</w:t>
            </w:r>
          </w:p>
        </w:tc>
        <w:tc>
          <w:tcPr>
            <w:tcW w:w="1985" w:type="dxa"/>
            <w:shd w:val="clear" w:color="auto" w:fill="D9E2F3"/>
            <w:vAlign w:val="bottom"/>
          </w:tcPr>
          <w:p w14:paraId="428520A5" w14:textId="77777777" w:rsidR="00EE22B1" w:rsidRDefault="00000000">
            <w:pPr>
              <w:jc w:val="center"/>
              <w:rPr>
                <w:rFonts w:ascii="Open Sans" w:eastAsia="Open Sans" w:hAnsi="Open Sans" w:cs="Open Sans"/>
                <w:color w:val="000000"/>
                <w:sz w:val="22"/>
                <w:szCs w:val="22"/>
              </w:rPr>
            </w:pPr>
            <w:r>
              <w:rPr>
                <w:rFonts w:ascii="Open Sans" w:eastAsia="Open Sans" w:hAnsi="Open Sans" w:cs="Open Sans"/>
                <w:color w:val="000000"/>
                <w:sz w:val="22"/>
                <w:szCs w:val="22"/>
              </w:rPr>
              <w:t>5,3%</w:t>
            </w:r>
          </w:p>
        </w:tc>
        <w:tc>
          <w:tcPr>
            <w:tcW w:w="1559" w:type="dxa"/>
            <w:shd w:val="clear" w:color="auto" w:fill="D9E2F3"/>
            <w:vAlign w:val="bottom"/>
          </w:tcPr>
          <w:p w14:paraId="08423236" w14:textId="77777777" w:rsidR="00EE22B1" w:rsidRDefault="00000000">
            <w:pPr>
              <w:jc w:val="center"/>
              <w:rPr>
                <w:rFonts w:ascii="Open Sans" w:eastAsia="Open Sans" w:hAnsi="Open Sans" w:cs="Open Sans"/>
                <w:color w:val="000000"/>
                <w:sz w:val="22"/>
                <w:szCs w:val="22"/>
              </w:rPr>
            </w:pPr>
            <w:r>
              <w:rPr>
                <w:rFonts w:ascii="Open Sans" w:eastAsia="Open Sans" w:hAnsi="Open Sans" w:cs="Open Sans"/>
                <w:color w:val="000000"/>
                <w:sz w:val="22"/>
                <w:szCs w:val="22"/>
              </w:rPr>
              <w:t>6,5%</w:t>
            </w:r>
          </w:p>
        </w:tc>
        <w:tc>
          <w:tcPr>
            <w:tcW w:w="1701" w:type="dxa"/>
            <w:shd w:val="clear" w:color="auto" w:fill="D9E2F3"/>
            <w:vAlign w:val="bottom"/>
          </w:tcPr>
          <w:p w14:paraId="6E8CF40B" w14:textId="77777777" w:rsidR="00EE22B1" w:rsidRDefault="00000000">
            <w:pPr>
              <w:jc w:val="center"/>
              <w:rPr>
                <w:rFonts w:ascii="Open Sans" w:eastAsia="Open Sans" w:hAnsi="Open Sans" w:cs="Open Sans"/>
                <w:b/>
                <w:bCs/>
                <w:color w:val="000000"/>
                <w:sz w:val="22"/>
                <w:szCs w:val="22"/>
              </w:rPr>
            </w:pPr>
            <w:r>
              <w:rPr>
                <w:rFonts w:ascii="Open Sans" w:eastAsia="Open Sans" w:hAnsi="Open Sans" w:cs="Open Sans"/>
                <w:color w:val="000000"/>
                <w:sz w:val="22"/>
                <w:szCs w:val="22"/>
              </w:rPr>
              <w:t>7,2%</w:t>
            </w:r>
          </w:p>
        </w:tc>
        <w:tc>
          <w:tcPr>
            <w:tcW w:w="1511" w:type="dxa"/>
            <w:shd w:val="clear" w:color="auto" w:fill="D9E2F3"/>
            <w:vAlign w:val="bottom"/>
          </w:tcPr>
          <w:p w14:paraId="307B2D34" w14:textId="77777777" w:rsidR="00EE22B1" w:rsidRDefault="00000000">
            <w:pPr>
              <w:jc w:val="center"/>
              <w:rPr>
                <w:rFonts w:ascii="Open Sans" w:eastAsia="Open Sans" w:hAnsi="Open Sans" w:cs="Open Sans"/>
                <w:b/>
                <w:bCs/>
                <w:color w:val="000000"/>
                <w:sz w:val="22"/>
                <w:szCs w:val="22"/>
              </w:rPr>
            </w:pPr>
            <w:r>
              <w:rPr>
                <w:rFonts w:ascii="Open Sans" w:eastAsia="Open Sans" w:hAnsi="Open Sans" w:cs="Open Sans"/>
                <w:b/>
                <w:bCs/>
                <w:color w:val="000000"/>
                <w:sz w:val="22"/>
                <w:szCs w:val="22"/>
              </w:rPr>
              <w:t>7,5%</w:t>
            </w:r>
          </w:p>
        </w:tc>
      </w:tr>
      <w:tr w:rsidR="00EE22B1" w14:paraId="6606FE47" w14:textId="77777777">
        <w:trPr>
          <w:trHeight w:val="288"/>
        </w:trPr>
        <w:tc>
          <w:tcPr>
            <w:tcW w:w="2263" w:type="dxa"/>
            <w:tcBorders>
              <w:left w:val="single" w:sz="4" w:space="0" w:color="FFFFFF"/>
            </w:tcBorders>
            <w:shd w:val="clear" w:color="auto" w:fill="4472C4"/>
            <w:vAlign w:val="bottom"/>
          </w:tcPr>
          <w:p w14:paraId="1304623C" w14:textId="77777777" w:rsidR="00EE22B1" w:rsidRDefault="00000000">
            <w:pPr>
              <w:rPr>
                <w:rFonts w:ascii="Open Sans" w:eastAsia="Open Sans" w:hAnsi="Open Sans" w:cs="Open Sans"/>
                <w:color w:val="FFFFFF"/>
                <w:sz w:val="22"/>
                <w:szCs w:val="22"/>
              </w:rPr>
            </w:pPr>
            <w:r>
              <w:rPr>
                <w:rFonts w:ascii="Open Sans" w:eastAsia="Open Sans" w:hAnsi="Open Sans" w:cs="Open Sans"/>
                <w:color w:val="FFFFFF"/>
                <w:sz w:val="22"/>
                <w:szCs w:val="22"/>
              </w:rPr>
              <w:t>Extremadura</w:t>
            </w:r>
          </w:p>
        </w:tc>
        <w:tc>
          <w:tcPr>
            <w:tcW w:w="1985" w:type="dxa"/>
            <w:shd w:val="clear" w:color="auto" w:fill="B4C6E7"/>
            <w:vAlign w:val="bottom"/>
          </w:tcPr>
          <w:p w14:paraId="2A394821" w14:textId="77777777" w:rsidR="00EE22B1" w:rsidRDefault="00000000">
            <w:pPr>
              <w:jc w:val="center"/>
              <w:rPr>
                <w:rFonts w:ascii="Open Sans" w:eastAsia="Open Sans" w:hAnsi="Open Sans" w:cs="Open Sans"/>
                <w:color w:val="000000"/>
                <w:sz w:val="22"/>
                <w:szCs w:val="22"/>
              </w:rPr>
            </w:pPr>
            <w:r>
              <w:rPr>
                <w:rFonts w:ascii="Open Sans" w:eastAsia="Open Sans" w:hAnsi="Open Sans" w:cs="Open Sans"/>
                <w:color w:val="000000"/>
                <w:sz w:val="22"/>
                <w:szCs w:val="22"/>
              </w:rPr>
              <w:t>5,1%</w:t>
            </w:r>
          </w:p>
        </w:tc>
        <w:tc>
          <w:tcPr>
            <w:tcW w:w="1559" w:type="dxa"/>
            <w:shd w:val="clear" w:color="auto" w:fill="B4C6E7"/>
            <w:vAlign w:val="bottom"/>
          </w:tcPr>
          <w:p w14:paraId="7290DF08" w14:textId="77777777" w:rsidR="00EE22B1" w:rsidRDefault="00000000">
            <w:pPr>
              <w:jc w:val="center"/>
              <w:rPr>
                <w:rFonts w:ascii="Open Sans" w:eastAsia="Open Sans" w:hAnsi="Open Sans" w:cs="Open Sans"/>
                <w:color w:val="000000"/>
                <w:sz w:val="22"/>
                <w:szCs w:val="22"/>
              </w:rPr>
            </w:pPr>
            <w:r>
              <w:rPr>
                <w:rFonts w:ascii="Open Sans" w:eastAsia="Open Sans" w:hAnsi="Open Sans" w:cs="Open Sans"/>
                <w:color w:val="000000"/>
                <w:sz w:val="22"/>
                <w:szCs w:val="22"/>
              </w:rPr>
              <w:t>5,7%</w:t>
            </w:r>
          </w:p>
        </w:tc>
        <w:tc>
          <w:tcPr>
            <w:tcW w:w="1701" w:type="dxa"/>
            <w:shd w:val="clear" w:color="auto" w:fill="B4C6E7"/>
            <w:vAlign w:val="bottom"/>
          </w:tcPr>
          <w:p w14:paraId="3AC93193" w14:textId="77777777" w:rsidR="00EE22B1" w:rsidRDefault="00000000">
            <w:pPr>
              <w:jc w:val="center"/>
              <w:rPr>
                <w:rFonts w:ascii="Open Sans" w:eastAsia="Open Sans" w:hAnsi="Open Sans" w:cs="Open Sans"/>
                <w:b/>
                <w:bCs/>
                <w:color w:val="000000"/>
                <w:sz w:val="22"/>
                <w:szCs w:val="22"/>
              </w:rPr>
            </w:pPr>
            <w:r>
              <w:rPr>
                <w:rFonts w:ascii="Open Sans" w:eastAsia="Open Sans" w:hAnsi="Open Sans" w:cs="Open Sans"/>
                <w:color w:val="000000"/>
                <w:sz w:val="22"/>
                <w:szCs w:val="22"/>
              </w:rPr>
              <w:t>6,9%</w:t>
            </w:r>
          </w:p>
        </w:tc>
        <w:tc>
          <w:tcPr>
            <w:tcW w:w="1511" w:type="dxa"/>
            <w:shd w:val="clear" w:color="auto" w:fill="B4C6E7"/>
            <w:vAlign w:val="bottom"/>
          </w:tcPr>
          <w:p w14:paraId="537FB9C8" w14:textId="77777777" w:rsidR="00EE22B1" w:rsidRDefault="00000000">
            <w:pPr>
              <w:jc w:val="center"/>
              <w:rPr>
                <w:rFonts w:ascii="Open Sans" w:eastAsia="Open Sans" w:hAnsi="Open Sans" w:cs="Open Sans"/>
                <w:b/>
                <w:bCs/>
                <w:color w:val="9C0006"/>
                <w:sz w:val="22"/>
                <w:szCs w:val="22"/>
              </w:rPr>
            </w:pPr>
            <w:r>
              <w:rPr>
                <w:rFonts w:ascii="Open Sans" w:eastAsia="Open Sans" w:hAnsi="Open Sans" w:cs="Open Sans"/>
                <w:b/>
                <w:bCs/>
                <w:color w:val="000000"/>
                <w:sz w:val="22"/>
                <w:szCs w:val="22"/>
              </w:rPr>
              <w:t>6,9%</w:t>
            </w:r>
          </w:p>
        </w:tc>
      </w:tr>
      <w:tr w:rsidR="00EE22B1" w14:paraId="4E9CA0A6" w14:textId="77777777">
        <w:trPr>
          <w:trHeight w:val="273"/>
        </w:trPr>
        <w:tc>
          <w:tcPr>
            <w:tcW w:w="2263" w:type="dxa"/>
            <w:tcBorders>
              <w:left w:val="single" w:sz="4" w:space="0" w:color="FFFFFF"/>
            </w:tcBorders>
            <w:shd w:val="clear" w:color="auto" w:fill="4472C4"/>
            <w:vAlign w:val="bottom"/>
          </w:tcPr>
          <w:p w14:paraId="3555D4B7" w14:textId="77777777" w:rsidR="00EE22B1" w:rsidRDefault="00000000">
            <w:pPr>
              <w:rPr>
                <w:rFonts w:ascii="Open Sans" w:eastAsia="Open Sans" w:hAnsi="Open Sans" w:cs="Open Sans"/>
                <w:color w:val="FFFFFF"/>
                <w:sz w:val="22"/>
                <w:szCs w:val="22"/>
              </w:rPr>
            </w:pPr>
            <w:r>
              <w:rPr>
                <w:rFonts w:ascii="Open Sans" w:eastAsia="Open Sans" w:hAnsi="Open Sans" w:cs="Open Sans"/>
                <w:color w:val="FFFFFF"/>
                <w:sz w:val="22"/>
                <w:szCs w:val="22"/>
              </w:rPr>
              <w:t>Castilla y León</w:t>
            </w:r>
          </w:p>
        </w:tc>
        <w:tc>
          <w:tcPr>
            <w:tcW w:w="1985" w:type="dxa"/>
            <w:shd w:val="clear" w:color="auto" w:fill="D9E2F3"/>
            <w:vAlign w:val="bottom"/>
          </w:tcPr>
          <w:p w14:paraId="38CE520A" w14:textId="77777777" w:rsidR="00EE22B1" w:rsidRDefault="00000000">
            <w:pPr>
              <w:jc w:val="center"/>
              <w:rPr>
                <w:rFonts w:ascii="Open Sans" w:eastAsia="Open Sans" w:hAnsi="Open Sans" w:cs="Open Sans"/>
                <w:color w:val="000000"/>
                <w:sz w:val="22"/>
                <w:szCs w:val="22"/>
              </w:rPr>
            </w:pPr>
            <w:r>
              <w:rPr>
                <w:rFonts w:ascii="Open Sans" w:eastAsia="Open Sans" w:hAnsi="Open Sans" w:cs="Open Sans"/>
                <w:color w:val="000000"/>
                <w:sz w:val="22"/>
                <w:szCs w:val="22"/>
              </w:rPr>
              <w:t>4,9%</w:t>
            </w:r>
          </w:p>
        </w:tc>
        <w:tc>
          <w:tcPr>
            <w:tcW w:w="1559" w:type="dxa"/>
            <w:shd w:val="clear" w:color="auto" w:fill="D9E2F3"/>
            <w:vAlign w:val="bottom"/>
          </w:tcPr>
          <w:p w14:paraId="5E2E1024" w14:textId="77777777" w:rsidR="00EE22B1" w:rsidRDefault="00000000">
            <w:pPr>
              <w:jc w:val="center"/>
              <w:rPr>
                <w:rFonts w:ascii="Open Sans" w:eastAsia="Open Sans" w:hAnsi="Open Sans" w:cs="Open Sans"/>
                <w:color w:val="000000"/>
                <w:sz w:val="22"/>
                <w:szCs w:val="22"/>
              </w:rPr>
            </w:pPr>
            <w:r>
              <w:rPr>
                <w:rFonts w:ascii="Open Sans" w:eastAsia="Open Sans" w:hAnsi="Open Sans" w:cs="Open Sans"/>
                <w:color w:val="000000"/>
                <w:sz w:val="22"/>
                <w:szCs w:val="22"/>
              </w:rPr>
              <w:t>6,2%</w:t>
            </w:r>
          </w:p>
        </w:tc>
        <w:tc>
          <w:tcPr>
            <w:tcW w:w="1701" w:type="dxa"/>
            <w:shd w:val="clear" w:color="auto" w:fill="D9E2F3"/>
            <w:vAlign w:val="bottom"/>
          </w:tcPr>
          <w:p w14:paraId="282E0BFF" w14:textId="77777777" w:rsidR="00EE22B1" w:rsidRDefault="00000000">
            <w:pPr>
              <w:jc w:val="center"/>
              <w:rPr>
                <w:rFonts w:ascii="Open Sans" w:eastAsia="Open Sans" w:hAnsi="Open Sans" w:cs="Open Sans"/>
                <w:b/>
                <w:bCs/>
                <w:color w:val="000000"/>
                <w:sz w:val="22"/>
                <w:szCs w:val="22"/>
              </w:rPr>
            </w:pPr>
            <w:r>
              <w:rPr>
                <w:rFonts w:ascii="Open Sans" w:eastAsia="Open Sans" w:hAnsi="Open Sans" w:cs="Open Sans"/>
                <w:color w:val="000000"/>
                <w:sz w:val="22"/>
                <w:szCs w:val="22"/>
              </w:rPr>
              <w:t>7,2%</w:t>
            </w:r>
          </w:p>
        </w:tc>
        <w:tc>
          <w:tcPr>
            <w:tcW w:w="1511" w:type="dxa"/>
            <w:shd w:val="clear" w:color="auto" w:fill="D9E2F3"/>
            <w:vAlign w:val="bottom"/>
          </w:tcPr>
          <w:p w14:paraId="098F0417" w14:textId="77777777" w:rsidR="00EE22B1" w:rsidRDefault="00000000">
            <w:pPr>
              <w:jc w:val="center"/>
              <w:rPr>
                <w:rFonts w:ascii="Open Sans" w:eastAsia="Open Sans" w:hAnsi="Open Sans" w:cs="Open Sans"/>
                <w:b/>
                <w:bCs/>
                <w:color w:val="000000"/>
                <w:sz w:val="22"/>
                <w:szCs w:val="22"/>
              </w:rPr>
            </w:pPr>
            <w:r>
              <w:rPr>
                <w:rFonts w:ascii="Open Sans" w:eastAsia="Open Sans" w:hAnsi="Open Sans" w:cs="Open Sans"/>
                <w:b/>
                <w:bCs/>
                <w:color w:val="000000"/>
                <w:sz w:val="22"/>
                <w:szCs w:val="22"/>
              </w:rPr>
              <w:t>6,9%</w:t>
            </w:r>
          </w:p>
        </w:tc>
      </w:tr>
      <w:tr w:rsidR="00EE22B1" w14:paraId="7E246C19" w14:textId="77777777">
        <w:trPr>
          <w:trHeight w:val="273"/>
        </w:trPr>
        <w:tc>
          <w:tcPr>
            <w:tcW w:w="2263" w:type="dxa"/>
            <w:tcBorders>
              <w:left w:val="single" w:sz="4" w:space="0" w:color="FFFFFF"/>
            </w:tcBorders>
            <w:shd w:val="clear" w:color="auto" w:fill="4472C4"/>
            <w:vAlign w:val="bottom"/>
          </w:tcPr>
          <w:p w14:paraId="69CBE648" w14:textId="77777777" w:rsidR="00EE22B1" w:rsidRDefault="00000000">
            <w:pPr>
              <w:rPr>
                <w:rFonts w:ascii="Open Sans" w:eastAsia="Open Sans" w:hAnsi="Open Sans" w:cs="Open Sans"/>
                <w:color w:val="FFFFFF"/>
                <w:sz w:val="22"/>
                <w:szCs w:val="22"/>
              </w:rPr>
            </w:pPr>
            <w:r>
              <w:rPr>
                <w:rFonts w:ascii="Open Sans" w:eastAsia="Open Sans" w:hAnsi="Open Sans" w:cs="Open Sans"/>
                <w:color w:val="FFFFFF"/>
                <w:sz w:val="22"/>
                <w:szCs w:val="22"/>
              </w:rPr>
              <w:t>Comunitat Valenciana</w:t>
            </w:r>
          </w:p>
        </w:tc>
        <w:tc>
          <w:tcPr>
            <w:tcW w:w="1985" w:type="dxa"/>
            <w:shd w:val="clear" w:color="auto" w:fill="B4C6E7"/>
            <w:vAlign w:val="bottom"/>
          </w:tcPr>
          <w:p w14:paraId="4E4E3A29" w14:textId="77777777" w:rsidR="00EE22B1" w:rsidRDefault="00000000">
            <w:pPr>
              <w:jc w:val="center"/>
              <w:rPr>
                <w:rFonts w:ascii="Open Sans" w:eastAsia="Open Sans" w:hAnsi="Open Sans" w:cs="Open Sans"/>
                <w:color w:val="000000"/>
                <w:sz w:val="22"/>
                <w:szCs w:val="22"/>
              </w:rPr>
            </w:pPr>
            <w:r>
              <w:rPr>
                <w:rFonts w:ascii="Open Sans" w:eastAsia="Open Sans" w:hAnsi="Open Sans" w:cs="Open Sans"/>
                <w:color w:val="000000"/>
                <w:sz w:val="22"/>
                <w:szCs w:val="22"/>
              </w:rPr>
              <w:t>5,4%</w:t>
            </w:r>
          </w:p>
        </w:tc>
        <w:tc>
          <w:tcPr>
            <w:tcW w:w="1559" w:type="dxa"/>
            <w:shd w:val="clear" w:color="auto" w:fill="B4C6E7"/>
            <w:vAlign w:val="bottom"/>
          </w:tcPr>
          <w:p w14:paraId="2A1A2737" w14:textId="77777777" w:rsidR="00EE22B1" w:rsidRDefault="00000000">
            <w:pPr>
              <w:jc w:val="center"/>
              <w:rPr>
                <w:rFonts w:ascii="Open Sans" w:eastAsia="Open Sans" w:hAnsi="Open Sans" w:cs="Open Sans"/>
                <w:color w:val="000000"/>
                <w:sz w:val="22"/>
                <w:szCs w:val="22"/>
              </w:rPr>
            </w:pPr>
            <w:r>
              <w:rPr>
                <w:rFonts w:ascii="Open Sans" w:eastAsia="Open Sans" w:hAnsi="Open Sans" w:cs="Open Sans"/>
                <w:color w:val="000000"/>
                <w:sz w:val="22"/>
                <w:szCs w:val="22"/>
              </w:rPr>
              <w:t>7,1%</w:t>
            </w:r>
          </w:p>
        </w:tc>
        <w:tc>
          <w:tcPr>
            <w:tcW w:w="1701" w:type="dxa"/>
            <w:shd w:val="clear" w:color="auto" w:fill="B4C6E7"/>
            <w:vAlign w:val="bottom"/>
          </w:tcPr>
          <w:p w14:paraId="485F272C" w14:textId="77777777" w:rsidR="00EE22B1" w:rsidRDefault="00000000">
            <w:pPr>
              <w:jc w:val="center"/>
              <w:rPr>
                <w:rFonts w:ascii="Open Sans" w:eastAsia="Open Sans" w:hAnsi="Open Sans" w:cs="Open Sans"/>
                <w:b/>
                <w:bCs/>
                <w:color w:val="000000"/>
                <w:sz w:val="22"/>
                <w:szCs w:val="22"/>
              </w:rPr>
            </w:pPr>
            <w:r>
              <w:rPr>
                <w:rFonts w:ascii="Open Sans" w:eastAsia="Open Sans" w:hAnsi="Open Sans" w:cs="Open Sans"/>
                <w:color w:val="000000"/>
                <w:sz w:val="22"/>
                <w:szCs w:val="22"/>
              </w:rPr>
              <w:t>6,9%</w:t>
            </w:r>
          </w:p>
        </w:tc>
        <w:tc>
          <w:tcPr>
            <w:tcW w:w="1511" w:type="dxa"/>
            <w:shd w:val="clear" w:color="auto" w:fill="B4C6E7"/>
            <w:vAlign w:val="bottom"/>
          </w:tcPr>
          <w:p w14:paraId="056E93B0" w14:textId="77777777" w:rsidR="00EE22B1" w:rsidRDefault="00000000">
            <w:pPr>
              <w:jc w:val="center"/>
              <w:rPr>
                <w:rFonts w:ascii="Open Sans" w:eastAsia="Open Sans" w:hAnsi="Open Sans" w:cs="Open Sans"/>
                <w:b/>
                <w:bCs/>
                <w:color w:val="9C0006"/>
                <w:sz w:val="22"/>
                <w:szCs w:val="22"/>
              </w:rPr>
            </w:pPr>
            <w:r>
              <w:rPr>
                <w:rFonts w:ascii="Open Sans" w:eastAsia="Open Sans" w:hAnsi="Open Sans" w:cs="Open Sans"/>
                <w:b/>
                <w:bCs/>
                <w:color w:val="000000"/>
                <w:sz w:val="22"/>
                <w:szCs w:val="22"/>
              </w:rPr>
              <w:t>6,6%</w:t>
            </w:r>
          </w:p>
        </w:tc>
      </w:tr>
      <w:tr w:rsidR="00EE22B1" w14:paraId="409D6A3F" w14:textId="77777777">
        <w:trPr>
          <w:trHeight w:val="273"/>
        </w:trPr>
        <w:tc>
          <w:tcPr>
            <w:tcW w:w="2263" w:type="dxa"/>
            <w:tcBorders>
              <w:left w:val="single" w:sz="4" w:space="0" w:color="FFFFFF"/>
            </w:tcBorders>
            <w:shd w:val="clear" w:color="auto" w:fill="4472C4"/>
            <w:vAlign w:val="bottom"/>
          </w:tcPr>
          <w:p w14:paraId="5653FEE1" w14:textId="77777777" w:rsidR="00EE22B1" w:rsidRDefault="00000000">
            <w:pPr>
              <w:rPr>
                <w:rFonts w:ascii="Open Sans" w:eastAsia="Open Sans" w:hAnsi="Open Sans" w:cs="Open Sans"/>
                <w:color w:val="FFFFFF"/>
                <w:sz w:val="22"/>
                <w:szCs w:val="22"/>
              </w:rPr>
            </w:pPr>
            <w:r>
              <w:rPr>
                <w:rFonts w:ascii="Open Sans" w:eastAsia="Open Sans" w:hAnsi="Open Sans" w:cs="Open Sans"/>
                <w:color w:val="FFFFFF"/>
                <w:sz w:val="22"/>
                <w:szCs w:val="22"/>
              </w:rPr>
              <w:t>La Rioja</w:t>
            </w:r>
          </w:p>
        </w:tc>
        <w:tc>
          <w:tcPr>
            <w:tcW w:w="1985" w:type="dxa"/>
            <w:shd w:val="clear" w:color="auto" w:fill="D9E2F3"/>
            <w:vAlign w:val="bottom"/>
          </w:tcPr>
          <w:p w14:paraId="6F65EB0E" w14:textId="77777777" w:rsidR="00EE22B1" w:rsidRDefault="00000000">
            <w:pPr>
              <w:jc w:val="center"/>
              <w:rPr>
                <w:rFonts w:ascii="Open Sans" w:eastAsia="Open Sans" w:hAnsi="Open Sans" w:cs="Open Sans"/>
                <w:color w:val="000000"/>
                <w:sz w:val="22"/>
                <w:szCs w:val="22"/>
              </w:rPr>
            </w:pPr>
            <w:r>
              <w:rPr>
                <w:rFonts w:ascii="Open Sans" w:eastAsia="Open Sans" w:hAnsi="Open Sans" w:cs="Open Sans"/>
                <w:color w:val="000000"/>
                <w:sz w:val="22"/>
                <w:szCs w:val="22"/>
              </w:rPr>
              <w:t>5,0%</w:t>
            </w:r>
          </w:p>
        </w:tc>
        <w:tc>
          <w:tcPr>
            <w:tcW w:w="1559" w:type="dxa"/>
            <w:shd w:val="clear" w:color="auto" w:fill="D9E2F3"/>
            <w:vAlign w:val="bottom"/>
          </w:tcPr>
          <w:p w14:paraId="33F778D0" w14:textId="77777777" w:rsidR="00EE22B1" w:rsidRDefault="00000000">
            <w:pPr>
              <w:jc w:val="center"/>
              <w:rPr>
                <w:rFonts w:ascii="Open Sans" w:eastAsia="Open Sans" w:hAnsi="Open Sans" w:cs="Open Sans"/>
                <w:color w:val="000000"/>
                <w:sz w:val="22"/>
                <w:szCs w:val="22"/>
              </w:rPr>
            </w:pPr>
            <w:r>
              <w:rPr>
                <w:rFonts w:ascii="Open Sans" w:eastAsia="Open Sans" w:hAnsi="Open Sans" w:cs="Open Sans"/>
                <w:color w:val="000000"/>
                <w:sz w:val="22"/>
                <w:szCs w:val="22"/>
              </w:rPr>
              <w:t>6,3%</w:t>
            </w:r>
          </w:p>
        </w:tc>
        <w:tc>
          <w:tcPr>
            <w:tcW w:w="1701" w:type="dxa"/>
            <w:shd w:val="clear" w:color="auto" w:fill="D9E2F3"/>
            <w:vAlign w:val="bottom"/>
          </w:tcPr>
          <w:p w14:paraId="37E29FCD" w14:textId="77777777" w:rsidR="00EE22B1" w:rsidRDefault="00000000">
            <w:pPr>
              <w:jc w:val="center"/>
              <w:rPr>
                <w:rFonts w:ascii="Open Sans" w:eastAsia="Open Sans" w:hAnsi="Open Sans" w:cs="Open Sans"/>
                <w:b/>
                <w:bCs/>
                <w:color w:val="000000"/>
                <w:sz w:val="22"/>
                <w:szCs w:val="22"/>
              </w:rPr>
            </w:pPr>
            <w:r>
              <w:rPr>
                <w:rFonts w:ascii="Open Sans" w:eastAsia="Open Sans" w:hAnsi="Open Sans" w:cs="Open Sans"/>
                <w:color w:val="000000"/>
                <w:sz w:val="22"/>
                <w:szCs w:val="22"/>
              </w:rPr>
              <w:t>6,6%</w:t>
            </w:r>
          </w:p>
        </w:tc>
        <w:tc>
          <w:tcPr>
            <w:tcW w:w="1511" w:type="dxa"/>
            <w:shd w:val="clear" w:color="auto" w:fill="D9E2F3"/>
            <w:vAlign w:val="bottom"/>
          </w:tcPr>
          <w:p w14:paraId="0C1945F4" w14:textId="77777777" w:rsidR="00EE22B1" w:rsidRDefault="00000000">
            <w:pPr>
              <w:jc w:val="center"/>
              <w:rPr>
                <w:rFonts w:ascii="Open Sans" w:eastAsia="Open Sans" w:hAnsi="Open Sans" w:cs="Open Sans"/>
                <w:b/>
                <w:bCs/>
                <w:color w:val="9C0006"/>
                <w:sz w:val="22"/>
                <w:szCs w:val="22"/>
              </w:rPr>
            </w:pPr>
            <w:r>
              <w:rPr>
                <w:rFonts w:ascii="Open Sans" w:eastAsia="Open Sans" w:hAnsi="Open Sans" w:cs="Open Sans"/>
                <w:b/>
                <w:bCs/>
                <w:color w:val="000000"/>
                <w:sz w:val="22"/>
                <w:szCs w:val="22"/>
              </w:rPr>
              <w:t>6,4%</w:t>
            </w:r>
          </w:p>
        </w:tc>
      </w:tr>
      <w:tr w:rsidR="00EE22B1" w14:paraId="0916B403" w14:textId="77777777">
        <w:trPr>
          <w:trHeight w:val="273"/>
        </w:trPr>
        <w:tc>
          <w:tcPr>
            <w:tcW w:w="2263" w:type="dxa"/>
            <w:tcBorders>
              <w:left w:val="single" w:sz="4" w:space="0" w:color="FFFFFF"/>
            </w:tcBorders>
            <w:shd w:val="clear" w:color="auto" w:fill="4472C4"/>
            <w:vAlign w:val="bottom"/>
          </w:tcPr>
          <w:p w14:paraId="7201CD19" w14:textId="77777777" w:rsidR="00EE22B1" w:rsidRDefault="00000000">
            <w:pPr>
              <w:rPr>
                <w:rFonts w:ascii="Open Sans" w:eastAsia="Open Sans" w:hAnsi="Open Sans" w:cs="Open Sans"/>
                <w:color w:val="FFFFFF"/>
                <w:sz w:val="22"/>
                <w:szCs w:val="22"/>
              </w:rPr>
            </w:pPr>
            <w:r>
              <w:rPr>
                <w:rFonts w:ascii="Open Sans" w:eastAsia="Open Sans" w:hAnsi="Open Sans" w:cs="Open Sans"/>
                <w:color w:val="FFFFFF"/>
                <w:sz w:val="22"/>
                <w:szCs w:val="22"/>
              </w:rPr>
              <w:t>Cataluña</w:t>
            </w:r>
          </w:p>
        </w:tc>
        <w:tc>
          <w:tcPr>
            <w:tcW w:w="1985" w:type="dxa"/>
            <w:shd w:val="clear" w:color="auto" w:fill="B4C6E7"/>
            <w:vAlign w:val="bottom"/>
          </w:tcPr>
          <w:p w14:paraId="4A262C98" w14:textId="77777777" w:rsidR="00EE22B1" w:rsidRDefault="00000000">
            <w:pPr>
              <w:jc w:val="center"/>
              <w:rPr>
                <w:rFonts w:ascii="Open Sans" w:eastAsia="Open Sans" w:hAnsi="Open Sans" w:cs="Open Sans"/>
                <w:color w:val="000000"/>
                <w:sz w:val="22"/>
                <w:szCs w:val="22"/>
              </w:rPr>
            </w:pPr>
            <w:r>
              <w:rPr>
                <w:rFonts w:ascii="Open Sans" w:eastAsia="Open Sans" w:hAnsi="Open Sans" w:cs="Open Sans"/>
                <w:color w:val="000000"/>
                <w:sz w:val="22"/>
                <w:szCs w:val="22"/>
              </w:rPr>
              <w:t>6,1%</w:t>
            </w:r>
          </w:p>
        </w:tc>
        <w:tc>
          <w:tcPr>
            <w:tcW w:w="1559" w:type="dxa"/>
            <w:shd w:val="clear" w:color="auto" w:fill="B4C6E7"/>
            <w:vAlign w:val="bottom"/>
          </w:tcPr>
          <w:p w14:paraId="3589AE71" w14:textId="77777777" w:rsidR="00EE22B1" w:rsidRDefault="00000000">
            <w:pPr>
              <w:jc w:val="center"/>
              <w:rPr>
                <w:rFonts w:ascii="Open Sans" w:eastAsia="Open Sans" w:hAnsi="Open Sans" w:cs="Open Sans"/>
                <w:color w:val="000000"/>
                <w:sz w:val="22"/>
                <w:szCs w:val="22"/>
              </w:rPr>
            </w:pPr>
            <w:r>
              <w:rPr>
                <w:rFonts w:ascii="Open Sans" w:eastAsia="Open Sans" w:hAnsi="Open Sans" w:cs="Open Sans"/>
                <w:color w:val="000000"/>
                <w:sz w:val="22"/>
                <w:szCs w:val="22"/>
              </w:rPr>
              <w:t>6,6%</w:t>
            </w:r>
          </w:p>
        </w:tc>
        <w:tc>
          <w:tcPr>
            <w:tcW w:w="1701" w:type="dxa"/>
            <w:shd w:val="clear" w:color="auto" w:fill="B4C6E7"/>
            <w:vAlign w:val="bottom"/>
          </w:tcPr>
          <w:p w14:paraId="7DF5FC1D" w14:textId="77777777" w:rsidR="00EE22B1" w:rsidRDefault="00000000">
            <w:pPr>
              <w:jc w:val="center"/>
              <w:rPr>
                <w:rFonts w:ascii="Open Sans" w:eastAsia="Open Sans" w:hAnsi="Open Sans" w:cs="Open Sans"/>
                <w:b/>
                <w:bCs/>
                <w:color w:val="000000"/>
                <w:sz w:val="22"/>
                <w:szCs w:val="22"/>
              </w:rPr>
            </w:pPr>
            <w:r>
              <w:rPr>
                <w:rFonts w:ascii="Open Sans" w:eastAsia="Open Sans" w:hAnsi="Open Sans" w:cs="Open Sans"/>
                <w:color w:val="000000"/>
                <w:sz w:val="22"/>
                <w:szCs w:val="22"/>
              </w:rPr>
              <w:t>7,8%</w:t>
            </w:r>
          </w:p>
        </w:tc>
        <w:tc>
          <w:tcPr>
            <w:tcW w:w="1511" w:type="dxa"/>
            <w:shd w:val="clear" w:color="auto" w:fill="B4C6E7"/>
            <w:vAlign w:val="bottom"/>
          </w:tcPr>
          <w:p w14:paraId="60D5E749" w14:textId="77777777" w:rsidR="00EE22B1" w:rsidRDefault="00000000">
            <w:pPr>
              <w:jc w:val="center"/>
              <w:rPr>
                <w:rFonts w:ascii="Open Sans" w:eastAsia="Open Sans" w:hAnsi="Open Sans" w:cs="Open Sans"/>
                <w:b/>
                <w:bCs/>
                <w:color w:val="9C0006"/>
                <w:sz w:val="22"/>
                <w:szCs w:val="22"/>
              </w:rPr>
            </w:pPr>
            <w:r>
              <w:rPr>
                <w:rFonts w:ascii="Open Sans" w:eastAsia="Open Sans" w:hAnsi="Open Sans" w:cs="Open Sans"/>
                <w:b/>
                <w:bCs/>
                <w:color w:val="000000"/>
                <w:sz w:val="22"/>
                <w:szCs w:val="22"/>
              </w:rPr>
              <w:t>6,3%</w:t>
            </w:r>
          </w:p>
        </w:tc>
      </w:tr>
      <w:tr w:rsidR="00EE22B1" w14:paraId="63BBFB73" w14:textId="77777777">
        <w:trPr>
          <w:trHeight w:val="273"/>
        </w:trPr>
        <w:tc>
          <w:tcPr>
            <w:tcW w:w="2263" w:type="dxa"/>
            <w:tcBorders>
              <w:left w:val="single" w:sz="4" w:space="0" w:color="FFFFFF"/>
            </w:tcBorders>
            <w:shd w:val="clear" w:color="auto" w:fill="4472C4"/>
            <w:vAlign w:val="bottom"/>
          </w:tcPr>
          <w:p w14:paraId="47049E6C" w14:textId="77777777" w:rsidR="00EE22B1" w:rsidRDefault="00000000">
            <w:pPr>
              <w:rPr>
                <w:rFonts w:ascii="Open Sans" w:eastAsia="Open Sans" w:hAnsi="Open Sans" w:cs="Open Sans"/>
                <w:color w:val="FFFFFF"/>
                <w:sz w:val="22"/>
                <w:szCs w:val="22"/>
              </w:rPr>
            </w:pPr>
            <w:r>
              <w:rPr>
                <w:rFonts w:ascii="Open Sans" w:eastAsia="Open Sans" w:hAnsi="Open Sans" w:cs="Open Sans"/>
                <w:color w:val="FFFFFF"/>
                <w:sz w:val="22"/>
                <w:szCs w:val="22"/>
              </w:rPr>
              <w:t>Navarra</w:t>
            </w:r>
          </w:p>
        </w:tc>
        <w:tc>
          <w:tcPr>
            <w:tcW w:w="1985" w:type="dxa"/>
            <w:shd w:val="clear" w:color="auto" w:fill="D9E2F3"/>
            <w:vAlign w:val="bottom"/>
          </w:tcPr>
          <w:p w14:paraId="173E6C14" w14:textId="77777777" w:rsidR="00EE22B1" w:rsidRDefault="00000000">
            <w:pPr>
              <w:jc w:val="center"/>
              <w:rPr>
                <w:rFonts w:ascii="Open Sans" w:eastAsia="Open Sans" w:hAnsi="Open Sans" w:cs="Open Sans"/>
                <w:sz w:val="22"/>
                <w:szCs w:val="22"/>
              </w:rPr>
            </w:pPr>
            <w:r>
              <w:rPr>
                <w:rFonts w:ascii="Open Sans" w:eastAsia="Open Sans" w:hAnsi="Open Sans" w:cs="Open Sans"/>
                <w:color w:val="000000"/>
                <w:sz w:val="22"/>
                <w:szCs w:val="22"/>
              </w:rPr>
              <w:t>5,3%</w:t>
            </w:r>
          </w:p>
        </w:tc>
        <w:tc>
          <w:tcPr>
            <w:tcW w:w="1559" w:type="dxa"/>
            <w:shd w:val="clear" w:color="auto" w:fill="D9E2F3"/>
            <w:vAlign w:val="bottom"/>
          </w:tcPr>
          <w:p w14:paraId="50C502BF" w14:textId="77777777" w:rsidR="00EE22B1" w:rsidRDefault="00000000">
            <w:pPr>
              <w:jc w:val="center"/>
              <w:rPr>
                <w:rFonts w:ascii="Open Sans" w:eastAsia="Open Sans" w:hAnsi="Open Sans" w:cs="Open Sans"/>
                <w:sz w:val="22"/>
                <w:szCs w:val="22"/>
              </w:rPr>
            </w:pPr>
            <w:r>
              <w:rPr>
                <w:rFonts w:ascii="Open Sans" w:eastAsia="Open Sans" w:hAnsi="Open Sans" w:cs="Open Sans"/>
                <w:color w:val="000000"/>
                <w:sz w:val="22"/>
                <w:szCs w:val="22"/>
              </w:rPr>
              <w:t>7,4%</w:t>
            </w:r>
          </w:p>
        </w:tc>
        <w:tc>
          <w:tcPr>
            <w:tcW w:w="1701" w:type="dxa"/>
            <w:shd w:val="clear" w:color="auto" w:fill="D9E2F3"/>
            <w:vAlign w:val="bottom"/>
          </w:tcPr>
          <w:p w14:paraId="31073E2B" w14:textId="77777777" w:rsidR="00EE22B1" w:rsidRDefault="00000000">
            <w:pPr>
              <w:jc w:val="center"/>
              <w:rPr>
                <w:rFonts w:ascii="Open Sans" w:eastAsia="Open Sans" w:hAnsi="Open Sans" w:cs="Open Sans"/>
                <w:sz w:val="22"/>
                <w:szCs w:val="22"/>
              </w:rPr>
            </w:pPr>
            <w:r>
              <w:rPr>
                <w:rFonts w:ascii="Open Sans" w:eastAsia="Open Sans" w:hAnsi="Open Sans" w:cs="Open Sans"/>
                <w:color w:val="000000"/>
                <w:sz w:val="22"/>
                <w:szCs w:val="22"/>
              </w:rPr>
              <w:t>6,8%</w:t>
            </w:r>
          </w:p>
        </w:tc>
        <w:tc>
          <w:tcPr>
            <w:tcW w:w="1511" w:type="dxa"/>
            <w:shd w:val="clear" w:color="auto" w:fill="D9E2F3"/>
            <w:vAlign w:val="bottom"/>
          </w:tcPr>
          <w:p w14:paraId="7DE8B6DB" w14:textId="77777777" w:rsidR="00EE22B1" w:rsidRDefault="00000000">
            <w:pPr>
              <w:jc w:val="center"/>
              <w:rPr>
                <w:rFonts w:ascii="Open Sans" w:eastAsia="Open Sans" w:hAnsi="Open Sans" w:cs="Open Sans"/>
                <w:b/>
                <w:bCs/>
                <w:sz w:val="22"/>
                <w:szCs w:val="22"/>
              </w:rPr>
            </w:pPr>
            <w:r>
              <w:rPr>
                <w:rFonts w:ascii="Open Sans" w:eastAsia="Open Sans" w:hAnsi="Open Sans" w:cs="Open Sans"/>
                <w:b/>
                <w:bCs/>
                <w:color w:val="000000"/>
                <w:sz w:val="22"/>
                <w:szCs w:val="22"/>
              </w:rPr>
              <w:t>6,3%</w:t>
            </w:r>
          </w:p>
        </w:tc>
      </w:tr>
      <w:tr w:rsidR="00EE22B1" w14:paraId="59563D4A" w14:textId="77777777">
        <w:trPr>
          <w:trHeight w:val="288"/>
        </w:trPr>
        <w:tc>
          <w:tcPr>
            <w:tcW w:w="2263" w:type="dxa"/>
            <w:tcBorders>
              <w:left w:val="single" w:sz="4" w:space="0" w:color="FFFFFF"/>
            </w:tcBorders>
            <w:shd w:val="clear" w:color="auto" w:fill="4472C4"/>
            <w:vAlign w:val="bottom"/>
          </w:tcPr>
          <w:p w14:paraId="3DAA496A" w14:textId="77777777" w:rsidR="00EE22B1" w:rsidRDefault="00000000">
            <w:pPr>
              <w:rPr>
                <w:rFonts w:ascii="Open Sans" w:eastAsia="Open Sans" w:hAnsi="Open Sans" w:cs="Open Sans"/>
                <w:color w:val="FFFFFF"/>
                <w:sz w:val="22"/>
                <w:szCs w:val="22"/>
              </w:rPr>
            </w:pPr>
            <w:r>
              <w:rPr>
                <w:rFonts w:ascii="Open Sans" w:eastAsia="Open Sans" w:hAnsi="Open Sans" w:cs="Open Sans"/>
                <w:color w:val="FFFFFF"/>
                <w:sz w:val="22"/>
                <w:szCs w:val="22"/>
              </w:rPr>
              <w:t>Cantabria</w:t>
            </w:r>
          </w:p>
        </w:tc>
        <w:tc>
          <w:tcPr>
            <w:tcW w:w="1985" w:type="dxa"/>
            <w:shd w:val="clear" w:color="auto" w:fill="B4C6E7"/>
            <w:vAlign w:val="bottom"/>
          </w:tcPr>
          <w:p w14:paraId="48CF2ACB" w14:textId="77777777" w:rsidR="00EE22B1" w:rsidRDefault="00000000">
            <w:pPr>
              <w:jc w:val="center"/>
              <w:rPr>
                <w:rFonts w:ascii="Open Sans" w:eastAsia="Open Sans" w:hAnsi="Open Sans" w:cs="Open Sans"/>
                <w:color w:val="000000"/>
                <w:sz w:val="22"/>
                <w:szCs w:val="22"/>
              </w:rPr>
            </w:pPr>
            <w:r>
              <w:rPr>
                <w:rFonts w:ascii="Open Sans" w:eastAsia="Open Sans" w:hAnsi="Open Sans" w:cs="Open Sans"/>
                <w:color w:val="000000"/>
                <w:sz w:val="22"/>
                <w:szCs w:val="22"/>
              </w:rPr>
              <w:t>5,0%</w:t>
            </w:r>
          </w:p>
        </w:tc>
        <w:tc>
          <w:tcPr>
            <w:tcW w:w="1559" w:type="dxa"/>
            <w:shd w:val="clear" w:color="auto" w:fill="B4C6E7"/>
            <w:vAlign w:val="bottom"/>
          </w:tcPr>
          <w:p w14:paraId="4EA98BEE" w14:textId="77777777" w:rsidR="00EE22B1" w:rsidRDefault="00000000">
            <w:pPr>
              <w:jc w:val="center"/>
              <w:rPr>
                <w:rFonts w:ascii="Open Sans" w:eastAsia="Open Sans" w:hAnsi="Open Sans" w:cs="Open Sans"/>
                <w:color w:val="000000"/>
                <w:sz w:val="22"/>
                <w:szCs w:val="22"/>
              </w:rPr>
            </w:pPr>
            <w:r>
              <w:rPr>
                <w:rFonts w:ascii="Open Sans" w:eastAsia="Open Sans" w:hAnsi="Open Sans" w:cs="Open Sans"/>
                <w:color w:val="000000"/>
                <w:sz w:val="22"/>
                <w:szCs w:val="22"/>
              </w:rPr>
              <w:t>6,6%</w:t>
            </w:r>
          </w:p>
        </w:tc>
        <w:tc>
          <w:tcPr>
            <w:tcW w:w="1701" w:type="dxa"/>
            <w:shd w:val="clear" w:color="auto" w:fill="B4C6E7"/>
            <w:vAlign w:val="bottom"/>
          </w:tcPr>
          <w:p w14:paraId="596A0FA9" w14:textId="77777777" w:rsidR="00EE22B1" w:rsidRDefault="00000000">
            <w:pPr>
              <w:jc w:val="center"/>
              <w:rPr>
                <w:rFonts w:ascii="Open Sans" w:eastAsia="Open Sans" w:hAnsi="Open Sans" w:cs="Open Sans"/>
                <w:b/>
                <w:bCs/>
                <w:color w:val="000000"/>
                <w:sz w:val="22"/>
                <w:szCs w:val="22"/>
              </w:rPr>
            </w:pPr>
            <w:r>
              <w:rPr>
                <w:rFonts w:ascii="Open Sans" w:eastAsia="Open Sans" w:hAnsi="Open Sans" w:cs="Open Sans"/>
                <w:color w:val="000000"/>
                <w:sz w:val="22"/>
                <w:szCs w:val="22"/>
              </w:rPr>
              <w:t>7,3%</w:t>
            </w:r>
          </w:p>
        </w:tc>
        <w:tc>
          <w:tcPr>
            <w:tcW w:w="1511" w:type="dxa"/>
            <w:shd w:val="clear" w:color="auto" w:fill="B4C6E7"/>
            <w:vAlign w:val="bottom"/>
          </w:tcPr>
          <w:p w14:paraId="54E7BD4E" w14:textId="77777777" w:rsidR="00EE22B1" w:rsidRDefault="00000000">
            <w:pPr>
              <w:jc w:val="center"/>
              <w:rPr>
                <w:rFonts w:ascii="Open Sans" w:eastAsia="Open Sans" w:hAnsi="Open Sans" w:cs="Open Sans"/>
                <w:b/>
                <w:bCs/>
                <w:color w:val="000000"/>
                <w:sz w:val="22"/>
                <w:szCs w:val="22"/>
              </w:rPr>
            </w:pPr>
            <w:r>
              <w:rPr>
                <w:rFonts w:ascii="Open Sans" w:eastAsia="Open Sans" w:hAnsi="Open Sans" w:cs="Open Sans"/>
                <w:b/>
                <w:bCs/>
                <w:color w:val="000000"/>
                <w:sz w:val="22"/>
                <w:szCs w:val="22"/>
              </w:rPr>
              <w:t>6,1%</w:t>
            </w:r>
          </w:p>
        </w:tc>
      </w:tr>
      <w:tr w:rsidR="00EE22B1" w14:paraId="492AAC4F" w14:textId="77777777">
        <w:trPr>
          <w:trHeight w:val="273"/>
        </w:trPr>
        <w:tc>
          <w:tcPr>
            <w:tcW w:w="2263" w:type="dxa"/>
            <w:tcBorders>
              <w:left w:val="single" w:sz="4" w:space="0" w:color="FFFFFF"/>
            </w:tcBorders>
            <w:shd w:val="clear" w:color="auto" w:fill="4472C4"/>
            <w:vAlign w:val="bottom"/>
          </w:tcPr>
          <w:p w14:paraId="5C7A258F" w14:textId="77777777" w:rsidR="00EE22B1" w:rsidRDefault="00000000">
            <w:pPr>
              <w:rPr>
                <w:rFonts w:ascii="Open Sans" w:eastAsia="Open Sans" w:hAnsi="Open Sans" w:cs="Open Sans"/>
                <w:color w:val="FFFFFF"/>
                <w:sz w:val="22"/>
                <w:szCs w:val="22"/>
              </w:rPr>
            </w:pPr>
            <w:r>
              <w:rPr>
                <w:rFonts w:ascii="Open Sans" w:eastAsia="Open Sans" w:hAnsi="Open Sans" w:cs="Open Sans"/>
                <w:color w:val="FFFFFF"/>
                <w:sz w:val="22"/>
                <w:szCs w:val="22"/>
              </w:rPr>
              <w:t>Asturias</w:t>
            </w:r>
          </w:p>
        </w:tc>
        <w:tc>
          <w:tcPr>
            <w:tcW w:w="1985" w:type="dxa"/>
            <w:shd w:val="clear" w:color="auto" w:fill="D9E2F3"/>
            <w:vAlign w:val="bottom"/>
          </w:tcPr>
          <w:p w14:paraId="54FFCB72" w14:textId="77777777" w:rsidR="00EE22B1" w:rsidRDefault="00000000">
            <w:pPr>
              <w:jc w:val="center"/>
              <w:rPr>
                <w:rFonts w:ascii="Open Sans" w:eastAsia="Open Sans" w:hAnsi="Open Sans" w:cs="Open Sans"/>
                <w:color w:val="000000"/>
                <w:sz w:val="22"/>
                <w:szCs w:val="22"/>
              </w:rPr>
            </w:pPr>
            <w:r>
              <w:rPr>
                <w:rFonts w:ascii="Open Sans" w:eastAsia="Open Sans" w:hAnsi="Open Sans" w:cs="Open Sans"/>
                <w:color w:val="000000"/>
                <w:sz w:val="22"/>
                <w:szCs w:val="22"/>
              </w:rPr>
              <w:t>4,9%</w:t>
            </w:r>
          </w:p>
        </w:tc>
        <w:tc>
          <w:tcPr>
            <w:tcW w:w="1559" w:type="dxa"/>
            <w:shd w:val="clear" w:color="auto" w:fill="D9E2F3"/>
            <w:vAlign w:val="bottom"/>
          </w:tcPr>
          <w:p w14:paraId="742CAEDA" w14:textId="77777777" w:rsidR="00EE22B1" w:rsidRDefault="00000000">
            <w:pPr>
              <w:jc w:val="center"/>
              <w:rPr>
                <w:rFonts w:ascii="Open Sans" w:eastAsia="Open Sans" w:hAnsi="Open Sans" w:cs="Open Sans"/>
                <w:color w:val="000000"/>
                <w:sz w:val="22"/>
                <w:szCs w:val="22"/>
              </w:rPr>
            </w:pPr>
            <w:r>
              <w:rPr>
                <w:rFonts w:ascii="Open Sans" w:eastAsia="Open Sans" w:hAnsi="Open Sans" w:cs="Open Sans"/>
                <w:color w:val="000000"/>
                <w:sz w:val="22"/>
                <w:szCs w:val="22"/>
              </w:rPr>
              <w:t>6,2%</w:t>
            </w:r>
          </w:p>
        </w:tc>
        <w:tc>
          <w:tcPr>
            <w:tcW w:w="1701" w:type="dxa"/>
            <w:shd w:val="clear" w:color="auto" w:fill="D9E2F3"/>
            <w:vAlign w:val="bottom"/>
          </w:tcPr>
          <w:p w14:paraId="713CC43F" w14:textId="77777777" w:rsidR="00EE22B1" w:rsidRDefault="00000000">
            <w:pPr>
              <w:jc w:val="center"/>
              <w:rPr>
                <w:rFonts w:ascii="Open Sans" w:eastAsia="Open Sans" w:hAnsi="Open Sans" w:cs="Open Sans"/>
                <w:b/>
                <w:bCs/>
                <w:color w:val="000000"/>
                <w:sz w:val="22"/>
                <w:szCs w:val="22"/>
              </w:rPr>
            </w:pPr>
            <w:r>
              <w:rPr>
                <w:rFonts w:ascii="Open Sans" w:eastAsia="Open Sans" w:hAnsi="Open Sans" w:cs="Open Sans"/>
                <w:color w:val="000000"/>
                <w:sz w:val="22"/>
                <w:szCs w:val="22"/>
              </w:rPr>
              <w:t>6,6%</w:t>
            </w:r>
          </w:p>
        </w:tc>
        <w:tc>
          <w:tcPr>
            <w:tcW w:w="1511" w:type="dxa"/>
            <w:shd w:val="clear" w:color="auto" w:fill="D9E2F3"/>
            <w:vAlign w:val="bottom"/>
          </w:tcPr>
          <w:p w14:paraId="4341AA2F" w14:textId="77777777" w:rsidR="00EE22B1" w:rsidRDefault="00000000">
            <w:pPr>
              <w:jc w:val="center"/>
              <w:rPr>
                <w:rFonts w:ascii="Open Sans" w:eastAsia="Open Sans" w:hAnsi="Open Sans" w:cs="Open Sans"/>
                <w:b/>
                <w:bCs/>
                <w:color w:val="9C0006"/>
                <w:sz w:val="22"/>
                <w:szCs w:val="22"/>
              </w:rPr>
            </w:pPr>
            <w:r>
              <w:rPr>
                <w:rFonts w:ascii="Open Sans" w:eastAsia="Open Sans" w:hAnsi="Open Sans" w:cs="Open Sans"/>
                <w:b/>
                <w:bCs/>
                <w:color w:val="000000"/>
                <w:sz w:val="22"/>
                <w:szCs w:val="22"/>
              </w:rPr>
              <w:t>6,1%</w:t>
            </w:r>
          </w:p>
        </w:tc>
      </w:tr>
      <w:tr w:rsidR="00EE22B1" w14:paraId="46038038" w14:textId="77777777">
        <w:trPr>
          <w:trHeight w:val="273"/>
        </w:trPr>
        <w:tc>
          <w:tcPr>
            <w:tcW w:w="2263" w:type="dxa"/>
            <w:tcBorders>
              <w:left w:val="single" w:sz="4" w:space="0" w:color="FFFFFF"/>
            </w:tcBorders>
            <w:shd w:val="clear" w:color="auto" w:fill="4472C4"/>
            <w:vAlign w:val="bottom"/>
          </w:tcPr>
          <w:p w14:paraId="0521275F" w14:textId="77777777" w:rsidR="00EE22B1" w:rsidRDefault="00000000">
            <w:pPr>
              <w:rPr>
                <w:rFonts w:ascii="Open Sans" w:eastAsia="Open Sans" w:hAnsi="Open Sans" w:cs="Open Sans"/>
                <w:color w:val="FFFFFF"/>
                <w:sz w:val="22"/>
                <w:szCs w:val="22"/>
              </w:rPr>
            </w:pPr>
            <w:r>
              <w:rPr>
                <w:rFonts w:ascii="Open Sans" w:eastAsia="Open Sans" w:hAnsi="Open Sans" w:cs="Open Sans"/>
                <w:color w:val="FFFFFF"/>
                <w:sz w:val="22"/>
                <w:szCs w:val="22"/>
              </w:rPr>
              <w:t>Región de Murcia</w:t>
            </w:r>
          </w:p>
        </w:tc>
        <w:tc>
          <w:tcPr>
            <w:tcW w:w="1985" w:type="dxa"/>
            <w:shd w:val="clear" w:color="auto" w:fill="B4C6E7"/>
            <w:vAlign w:val="bottom"/>
          </w:tcPr>
          <w:p w14:paraId="63F024BA" w14:textId="77777777" w:rsidR="00EE22B1" w:rsidRDefault="00000000">
            <w:pPr>
              <w:jc w:val="center"/>
              <w:rPr>
                <w:rFonts w:ascii="Open Sans" w:eastAsia="Open Sans" w:hAnsi="Open Sans" w:cs="Open Sans"/>
                <w:color w:val="000000"/>
                <w:sz w:val="22"/>
                <w:szCs w:val="22"/>
              </w:rPr>
            </w:pPr>
            <w:r>
              <w:rPr>
                <w:rFonts w:ascii="Open Sans" w:eastAsia="Open Sans" w:hAnsi="Open Sans" w:cs="Open Sans"/>
                <w:color w:val="000000"/>
                <w:sz w:val="22"/>
                <w:szCs w:val="22"/>
              </w:rPr>
              <w:t>5,9%</w:t>
            </w:r>
          </w:p>
        </w:tc>
        <w:tc>
          <w:tcPr>
            <w:tcW w:w="1559" w:type="dxa"/>
            <w:shd w:val="clear" w:color="auto" w:fill="B4C6E7"/>
            <w:vAlign w:val="bottom"/>
          </w:tcPr>
          <w:p w14:paraId="0EBDDCC6" w14:textId="77777777" w:rsidR="00EE22B1" w:rsidRDefault="00000000">
            <w:pPr>
              <w:jc w:val="center"/>
              <w:rPr>
                <w:rFonts w:ascii="Open Sans" w:eastAsia="Open Sans" w:hAnsi="Open Sans" w:cs="Open Sans"/>
                <w:color w:val="000000"/>
                <w:sz w:val="22"/>
                <w:szCs w:val="22"/>
              </w:rPr>
            </w:pPr>
            <w:r>
              <w:rPr>
                <w:rFonts w:ascii="Open Sans" w:eastAsia="Open Sans" w:hAnsi="Open Sans" w:cs="Open Sans"/>
                <w:color w:val="000000"/>
                <w:sz w:val="22"/>
                <w:szCs w:val="22"/>
              </w:rPr>
              <w:t>7,9%</w:t>
            </w:r>
          </w:p>
        </w:tc>
        <w:tc>
          <w:tcPr>
            <w:tcW w:w="1701" w:type="dxa"/>
            <w:shd w:val="clear" w:color="auto" w:fill="B4C6E7"/>
            <w:vAlign w:val="bottom"/>
          </w:tcPr>
          <w:p w14:paraId="24CB4C4E" w14:textId="77777777" w:rsidR="00EE22B1" w:rsidRDefault="00000000">
            <w:pPr>
              <w:jc w:val="center"/>
              <w:rPr>
                <w:rFonts w:ascii="Open Sans" w:eastAsia="Open Sans" w:hAnsi="Open Sans" w:cs="Open Sans"/>
                <w:b/>
                <w:bCs/>
                <w:color w:val="000000"/>
                <w:sz w:val="22"/>
                <w:szCs w:val="22"/>
              </w:rPr>
            </w:pPr>
            <w:r>
              <w:rPr>
                <w:rFonts w:ascii="Open Sans" w:eastAsia="Open Sans" w:hAnsi="Open Sans" w:cs="Open Sans"/>
                <w:color w:val="000000"/>
                <w:sz w:val="22"/>
                <w:szCs w:val="22"/>
              </w:rPr>
              <w:t>7,2%</w:t>
            </w:r>
          </w:p>
        </w:tc>
        <w:tc>
          <w:tcPr>
            <w:tcW w:w="1511" w:type="dxa"/>
            <w:shd w:val="clear" w:color="auto" w:fill="B4C6E7"/>
            <w:vAlign w:val="bottom"/>
          </w:tcPr>
          <w:p w14:paraId="263B24E7" w14:textId="77777777" w:rsidR="00EE22B1" w:rsidRDefault="00000000">
            <w:pPr>
              <w:jc w:val="center"/>
              <w:rPr>
                <w:rFonts w:ascii="Open Sans" w:eastAsia="Open Sans" w:hAnsi="Open Sans" w:cs="Open Sans"/>
                <w:b/>
                <w:bCs/>
                <w:color w:val="000000"/>
                <w:sz w:val="22"/>
                <w:szCs w:val="22"/>
              </w:rPr>
            </w:pPr>
            <w:r>
              <w:rPr>
                <w:rFonts w:ascii="Open Sans" w:eastAsia="Open Sans" w:hAnsi="Open Sans" w:cs="Open Sans"/>
                <w:b/>
                <w:bCs/>
                <w:color w:val="000000"/>
                <w:sz w:val="22"/>
                <w:szCs w:val="22"/>
              </w:rPr>
              <w:t>5,9%</w:t>
            </w:r>
          </w:p>
        </w:tc>
      </w:tr>
      <w:tr w:rsidR="00EE22B1" w14:paraId="0D07B668" w14:textId="77777777">
        <w:trPr>
          <w:trHeight w:val="273"/>
        </w:trPr>
        <w:tc>
          <w:tcPr>
            <w:tcW w:w="2263" w:type="dxa"/>
            <w:tcBorders>
              <w:left w:val="single" w:sz="4" w:space="0" w:color="FFFFFF"/>
            </w:tcBorders>
            <w:shd w:val="clear" w:color="auto" w:fill="4472C4"/>
            <w:vAlign w:val="bottom"/>
          </w:tcPr>
          <w:p w14:paraId="0F5AB711" w14:textId="77777777" w:rsidR="00EE22B1" w:rsidRDefault="00000000">
            <w:pPr>
              <w:rPr>
                <w:rFonts w:ascii="Open Sans" w:eastAsia="Open Sans" w:hAnsi="Open Sans" w:cs="Open Sans"/>
                <w:color w:val="FFFFFF"/>
                <w:sz w:val="22"/>
                <w:szCs w:val="22"/>
              </w:rPr>
            </w:pPr>
            <w:r>
              <w:rPr>
                <w:rFonts w:ascii="Open Sans" w:eastAsia="Open Sans" w:hAnsi="Open Sans" w:cs="Open Sans"/>
                <w:color w:val="FFFFFF"/>
                <w:sz w:val="22"/>
                <w:szCs w:val="22"/>
              </w:rPr>
              <w:t>Canarias</w:t>
            </w:r>
          </w:p>
        </w:tc>
        <w:tc>
          <w:tcPr>
            <w:tcW w:w="1985" w:type="dxa"/>
            <w:shd w:val="clear" w:color="auto" w:fill="D9E2F3"/>
            <w:vAlign w:val="bottom"/>
          </w:tcPr>
          <w:p w14:paraId="262DCF09" w14:textId="77777777" w:rsidR="00EE22B1" w:rsidRDefault="00000000">
            <w:pPr>
              <w:jc w:val="center"/>
              <w:rPr>
                <w:rFonts w:ascii="Open Sans" w:eastAsia="Open Sans" w:hAnsi="Open Sans" w:cs="Open Sans"/>
                <w:b/>
                <w:bCs/>
                <w:color w:val="000000"/>
                <w:sz w:val="22"/>
                <w:szCs w:val="22"/>
              </w:rPr>
            </w:pPr>
            <w:r>
              <w:rPr>
                <w:rFonts w:ascii="Open Sans" w:eastAsia="Open Sans" w:hAnsi="Open Sans" w:cs="Open Sans"/>
                <w:color w:val="000000"/>
                <w:sz w:val="22"/>
                <w:szCs w:val="22"/>
              </w:rPr>
              <w:t>5,7%</w:t>
            </w:r>
          </w:p>
        </w:tc>
        <w:tc>
          <w:tcPr>
            <w:tcW w:w="1559" w:type="dxa"/>
            <w:shd w:val="clear" w:color="auto" w:fill="D9E2F3"/>
            <w:vAlign w:val="bottom"/>
          </w:tcPr>
          <w:p w14:paraId="466C472A" w14:textId="77777777" w:rsidR="00EE22B1" w:rsidRDefault="00000000">
            <w:pPr>
              <w:jc w:val="center"/>
              <w:rPr>
                <w:rFonts w:ascii="Open Sans" w:eastAsia="Open Sans" w:hAnsi="Open Sans" w:cs="Open Sans"/>
                <w:b/>
                <w:bCs/>
                <w:color w:val="000000"/>
                <w:sz w:val="22"/>
                <w:szCs w:val="22"/>
              </w:rPr>
            </w:pPr>
            <w:r>
              <w:rPr>
                <w:rFonts w:ascii="Open Sans" w:eastAsia="Open Sans" w:hAnsi="Open Sans" w:cs="Open Sans"/>
                <w:color w:val="000000"/>
                <w:sz w:val="22"/>
                <w:szCs w:val="22"/>
              </w:rPr>
              <w:t>6,5%</w:t>
            </w:r>
          </w:p>
        </w:tc>
        <w:tc>
          <w:tcPr>
            <w:tcW w:w="1701" w:type="dxa"/>
            <w:shd w:val="clear" w:color="auto" w:fill="D9E2F3"/>
            <w:vAlign w:val="bottom"/>
          </w:tcPr>
          <w:p w14:paraId="42F2E741" w14:textId="77777777" w:rsidR="00EE22B1" w:rsidRDefault="00000000">
            <w:pPr>
              <w:jc w:val="center"/>
              <w:rPr>
                <w:rFonts w:ascii="Open Sans" w:eastAsia="Open Sans" w:hAnsi="Open Sans" w:cs="Open Sans"/>
                <w:b/>
                <w:bCs/>
                <w:color w:val="000000"/>
                <w:sz w:val="22"/>
                <w:szCs w:val="22"/>
              </w:rPr>
            </w:pPr>
            <w:r>
              <w:rPr>
                <w:rFonts w:ascii="Open Sans" w:eastAsia="Open Sans" w:hAnsi="Open Sans" w:cs="Open Sans"/>
                <w:color w:val="000000"/>
                <w:sz w:val="22"/>
                <w:szCs w:val="22"/>
              </w:rPr>
              <w:t>5,7%</w:t>
            </w:r>
          </w:p>
        </w:tc>
        <w:tc>
          <w:tcPr>
            <w:tcW w:w="1511" w:type="dxa"/>
            <w:shd w:val="clear" w:color="auto" w:fill="D9E2F3"/>
            <w:vAlign w:val="bottom"/>
          </w:tcPr>
          <w:p w14:paraId="7B9E9003" w14:textId="77777777" w:rsidR="00EE22B1" w:rsidRDefault="00000000">
            <w:pPr>
              <w:jc w:val="center"/>
              <w:rPr>
                <w:rFonts w:ascii="Open Sans" w:eastAsia="Open Sans" w:hAnsi="Open Sans" w:cs="Open Sans"/>
                <w:b/>
                <w:bCs/>
                <w:color w:val="9C0006"/>
                <w:sz w:val="22"/>
                <w:szCs w:val="22"/>
              </w:rPr>
            </w:pPr>
            <w:r>
              <w:rPr>
                <w:rFonts w:ascii="Open Sans" w:eastAsia="Open Sans" w:hAnsi="Open Sans" w:cs="Open Sans"/>
                <w:b/>
                <w:bCs/>
                <w:color w:val="000000"/>
                <w:sz w:val="22"/>
                <w:szCs w:val="22"/>
              </w:rPr>
              <w:t>5,8%</w:t>
            </w:r>
          </w:p>
        </w:tc>
      </w:tr>
      <w:tr w:rsidR="00EE22B1" w14:paraId="1746D351" w14:textId="77777777">
        <w:trPr>
          <w:trHeight w:val="273"/>
        </w:trPr>
        <w:tc>
          <w:tcPr>
            <w:tcW w:w="2263" w:type="dxa"/>
            <w:tcBorders>
              <w:left w:val="single" w:sz="4" w:space="0" w:color="FFFFFF"/>
            </w:tcBorders>
            <w:shd w:val="clear" w:color="auto" w:fill="FFC000"/>
            <w:vAlign w:val="bottom"/>
          </w:tcPr>
          <w:p w14:paraId="7BED7C3C" w14:textId="77777777" w:rsidR="00EE22B1" w:rsidRDefault="00000000">
            <w:pPr>
              <w:rPr>
                <w:rFonts w:ascii="Open Sans" w:eastAsia="Open Sans" w:hAnsi="Open Sans" w:cs="Open Sans"/>
                <w:color w:val="FFFFFF"/>
                <w:sz w:val="22"/>
                <w:szCs w:val="22"/>
              </w:rPr>
            </w:pPr>
            <w:r>
              <w:rPr>
                <w:rFonts w:ascii="Open Sans" w:eastAsia="Open Sans" w:hAnsi="Open Sans" w:cs="Open Sans"/>
                <w:color w:val="FFFFFF"/>
                <w:sz w:val="22"/>
                <w:szCs w:val="22"/>
              </w:rPr>
              <w:t>España</w:t>
            </w:r>
          </w:p>
        </w:tc>
        <w:tc>
          <w:tcPr>
            <w:tcW w:w="1985" w:type="dxa"/>
            <w:shd w:val="clear" w:color="auto" w:fill="FFC000"/>
            <w:vAlign w:val="bottom"/>
          </w:tcPr>
          <w:p w14:paraId="60C3FC6F" w14:textId="77777777" w:rsidR="00EE22B1" w:rsidRDefault="00000000">
            <w:pPr>
              <w:jc w:val="center"/>
              <w:rPr>
                <w:rFonts w:ascii="Open Sans" w:eastAsia="Open Sans" w:hAnsi="Open Sans" w:cs="Open Sans"/>
                <w:sz w:val="22"/>
                <w:szCs w:val="22"/>
              </w:rPr>
            </w:pPr>
            <w:r>
              <w:rPr>
                <w:rFonts w:ascii="Open Sans" w:eastAsia="Open Sans" w:hAnsi="Open Sans" w:cs="Open Sans"/>
                <w:sz w:val="22"/>
                <w:szCs w:val="22"/>
              </w:rPr>
              <w:t>5,5%</w:t>
            </w:r>
          </w:p>
        </w:tc>
        <w:tc>
          <w:tcPr>
            <w:tcW w:w="1559" w:type="dxa"/>
            <w:shd w:val="clear" w:color="auto" w:fill="FFC000"/>
            <w:vAlign w:val="bottom"/>
          </w:tcPr>
          <w:p w14:paraId="59B82B3A" w14:textId="77777777" w:rsidR="00EE22B1" w:rsidRDefault="00000000">
            <w:pPr>
              <w:jc w:val="center"/>
              <w:rPr>
                <w:rFonts w:ascii="Open Sans" w:eastAsia="Open Sans" w:hAnsi="Open Sans" w:cs="Open Sans"/>
                <w:sz w:val="22"/>
                <w:szCs w:val="22"/>
              </w:rPr>
            </w:pPr>
            <w:r>
              <w:rPr>
                <w:rFonts w:ascii="Open Sans" w:eastAsia="Open Sans" w:hAnsi="Open Sans" w:cs="Open Sans"/>
                <w:sz w:val="22"/>
                <w:szCs w:val="22"/>
              </w:rPr>
              <w:t>6,7%</w:t>
            </w:r>
          </w:p>
        </w:tc>
        <w:tc>
          <w:tcPr>
            <w:tcW w:w="1701" w:type="dxa"/>
            <w:shd w:val="clear" w:color="auto" w:fill="FFC000"/>
            <w:vAlign w:val="bottom"/>
          </w:tcPr>
          <w:p w14:paraId="095F4869" w14:textId="77777777" w:rsidR="00EE22B1" w:rsidRDefault="00000000">
            <w:pPr>
              <w:jc w:val="center"/>
              <w:rPr>
                <w:rFonts w:ascii="Open Sans" w:eastAsia="Open Sans" w:hAnsi="Open Sans" w:cs="Open Sans"/>
                <w:sz w:val="22"/>
                <w:szCs w:val="22"/>
              </w:rPr>
            </w:pPr>
            <w:r>
              <w:rPr>
                <w:rFonts w:ascii="Open Sans" w:eastAsia="Open Sans" w:hAnsi="Open Sans" w:cs="Open Sans"/>
                <w:sz w:val="22"/>
                <w:szCs w:val="22"/>
              </w:rPr>
              <w:t>6,5%</w:t>
            </w:r>
          </w:p>
        </w:tc>
        <w:tc>
          <w:tcPr>
            <w:tcW w:w="1511" w:type="dxa"/>
            <w:shd w:val="clear" w:color="auto" w:fill="FFC000"/>
            <w:vAlign w:val="bottom"/>
          </w:tcPr>
          <w:p w14:paraId="27698CAF" w14:textId="77777777" w:rsidR="00EE22B1" w:rsidRDefault="00000000">
            <w:pPr>
              <w:jc w:val="center"/>
              <w:rPr>
                <w:rFonts w:ascii="Open Sans" w:eastAsia="Open Sans" w:hAnsi="Open Sans" w:cs="Open Sans"/>
                <w:b/>
                <w:bCs/>
                <w:sz w:val="22"/>
                <w:szCs w:val="22"/>
              </w:rPr>
            </w:pPr>
            <w:r>
              <w:rPr>
                <w:rFonts w:ascii="Open Sans" w:eastAsia="Open Sans" w:hAnsi="Open Sans" w:cs="Open Sans"/>
                <w:b/>
                <w:bCs/>
                <w:sz w:val="22"/>
                <w:szCs w:val="22"/>
              </w:rPr>
              <w:t>5,7%</w:t>
            </w:r>
          </w:p>
        </w:tc>
      </w:tr>
      <w:tr w:rsidR="00EE22B1" w14:paraId="22F30FAE" w14:textId="77777777">
        <w:trPr>
          <w:trHeight w:val="273"/>
        </w:trPr>
        <w:tc>
          <w:tcPr>
            <w:tcW w:w="2263" w:type="dxa"/>
            <w:tcBorders>
              <w:left w:val="single" w:sz="4" w:space="0" w:color="FFFFFF"/>
            </w:tcBorders>
            <w:shd w:val="clear" w:color="auto" w:fill="4472C4"/>
            <w:vAlign w:val="bottom"/>
          </w:tcPr>
          <w:p w14:paraId="132597AE" w14:textId="77777777" w:rsidR="00EE22B1" w:rsidRDefault="00000000">
            <w:pPr>
              <w:rPr>
                <w:rFonts w:ascii="Open Sans" w:eastAsia="Open Sans" w:hAnsi="Open Sans" w:cs="Open Sans"/>
                <w:color w:val="FFFFFF"/>
                <w:sz w:val="22"/>
                <w:szCs w:val="22"/>
              </w:rPr>
            </w:pPr>
            <w:r>
              <w:rPr>
                <w:rFonts w:ascii="Open Sans" w:eastAsia="Open Sans" w:hAnsi="Open Sans" w:cs="Open Sans"/>
                <w:color w:val="FFFFFF"/>
                <w:sz w:val="22"/>
                <w:szCs w:val="22"/>
              </w:rPr>
              <w:t>Galicia</w:t>
            </w:r>
          </w:p>
        </w:tc>
        <w:tc>
          <w:tcPr>
            <w:tcW w:w="1985" w:type="dxa"/>
            <w:shd w:val="clear" w:color="auto" w:fill="D9E2F3"/>
            <w:vAlign w:val="bottom"/>
          </w:tcPr>
          <w:p w14:paraId="2438AC1B" w14:textId="77777777" w:rsidR="00EE22B1" w:rsidRDefault="00000000">
            <w:pPr>
              <w:jc w:val="center"/>
              <w:rPr>
                <w:rFonts w:ascii="Open Sans" w:eastAsia="Open Sans" w:hAnsi="Open Sans" w:cs="Open Sans"/>
                <w:color w:val="000000"/>
                <w:sz w:val="22"/>
                <w:szCs w:val="22"/>
              </w:rPr>
            </w:pPr>
            <w:r>
              <w:rPr>
                <w:rFonts w:ascii="Open Sans" w:eastAsia="Open Sans" w:hAnsi="Open Sans" w:cs="Open Sans"/>
                <w:color w:val="000000"/>
                <w:sz w:val="22"/>
                <w:szCs w:val="22"/>
              </w:rPr>
              <w:t>4,2%</w:t>
            </w:r>
          </w:p>
        </w:tc>
        <w:tc>
          <w:tcPr>
            <w:tcW w:w="1559" w:type="dxa"/>
            <w:shd w:val="clear" w:color="auto" w:fill="D9E2F3"/>
            <w:vAlign w:val="bottom"/>
          </w:tcPr>
          <w:p w14:paraId="2D2F3CA2" w14:textId="77777777" w:rsidR="00EE22B1" w:rsidRDefault="00000000">
            <w:pPr>
              <w:jc w:val="center"/>
              <w:rPr>
                <w:rFonts w:ascii="Open Sans" w:eastAsia="Open Sans" w:hAnsi="Open Sans" w:cs="Open Sans"/>
                <w:color w:val="000000"/>
                <w:sz w:val="22"/>
                <w:szCs w:val="22"/>
              </w:rPr>
            </w:pPr>
            <w:r>
              <w:rPr>
                <w:rFonts w:ascii="Open Sans" w:eastAsia="Open Sans" w:hAnsi="Open Sans" w:cs="Open Sans"/>
                <w:color w:val="000000"/>
                <w:sz w:val="22"/>
                <w:szCs w:val="22"/>
              </w:rPr>
              <w:t>5,5%</w:t>
            </w:r>
          </w:p>
        </w:tc>
        <w:tc>
          <w:tcPr>
            <w:tcW w:w="1701" w:type="dxa"/>
            <w:shd w:val="clear" w:color="auto" w:fill="D9E2F3"/>
            <w:vAlign w:val="bottom"/>
          </w:tcPr>
          <w:p w14:paraId="0835EEDE" w14:textId="77777777" w:rsidR="00EE22B1" w:rsidRDefault="00000000">
            <w:pPr>
              <w:jc w:val="center"/>
              <w:rPr>
                <w:rFonts w:ascii="Open Sans" w:eastAsia="Open Sans" w:hAnsi="Open Sans" w:cs="Open Sans"/>
                <w:b/>
                <w:bCs/>
                <w:color w:val="000000"/>
                <w:sz w:val="22"/>
                <w:szCs w:val="22"/>
              </w:rPr>
            </w:pPr>
            <w:r>
              <w:rPr>
                <w:rFonts w:ascii="Open Sans" w:eastAsia="Open Sans" w:hAnsi="Open Sans" w:cs="Open Sans"/>
                <w:color w:val="000000"/>
                <w:sz w:val="22"/>
                <w:szCs w:val="22"/>
              </w:rPr>
              <w:t>6,3%</w:t>
            </w:r>
          </w:p>
        </w:tc>
        <w:tc>
          <w:tcPr>
            <w:tcW w:w="1511" w:type="dxa"/>
            <w:shd w:val="clear" w:color="auto" w:fill="D9E2F3"/>
            <w:vAlign w:val="bottom"/>
          </w:tcPr>
          <w:p w14:paraId="1819703A" w14:textId="77777777" w:rsidR="00EE22B1" w:rsidRDefault="00000000">
            <w:pPr>
              <w:jc w:val="center"/>
              <w:rPr>
                <w:rFonts w:ascii="Open Sans" w:eastAsia="Open Sans" w:hAnsi="Open Sans" w:cs="Open Sans"/>
                <w:b/>
                <w:bCs/>
                <w:color w:val="000000"/>
                <w:sz w:val="22"/>
                <w:szCs w:val="22"/>
              </w:rPr>
            </w:pPr>
            <w:r>
              <w:rPr>
                <w:rFonts w:ascii="Open Sans" w:eastAsia="Open Sans" w:hAnsi="Open Sans" w:cs="Open Sans"/>
                <w:b/>
                <w:bCs/>
                <w:color w:val="000000"/>
                <w:sz w:val="22"/>
                <w:szCs w:val="22"/>
              </w:rPr>
              <w:t>5,7%</w:t>
            </w:r>
          </w:p>
        </w:tc>
      </w:tr>
      <w:tr w:rsidR="00EE22B1" w14:paraId="12B8FFE1" w14:textId="77777777">
        <w:trPr>
          <w:trHeight w:val="288"/>
        </w:trPr>
        <w:tc>
          <w:tcPr>
            <w:tcW w:w="2263" w:type="dxa"/>
            <w:tcBorders>
              <w:left w:val="single" w:sz="4" w:space="0" w:color="FFFFFF"/>
            </w:tcBorders>
            <w:shd w:val="clear" w:color="auto" w:fill="4472C4"/>
            <w:vAlign w:val="bottom"/>
          </w:tcPr>
          <w:p w14:paraId="61AD38F0" w14:textId="77777777" w:rsidR="00EE22B1" w:rsidRDefault="00000000">
            <w:pPr>
              <w:rPr>
                <w:rFonts w:ascii="Open Sans" w:eastAsia="Open Sans" w:hAnsi="Open Sans" w:cs="Open Sans"/>
                <w:color w:val="FFFFFF"/>
                <w:sz w:val="22"/>
                <w:szCs w:val="22"/>
              </w:rPr>
            </w:pPr>
            <w:r>
              <w:rPr>
                <w:rFonts w:ascii="Open Sans" w:eastAsia="Open Sans" w:hAnsi="Open Sans" w:cs="Open Sans"/>
                <w:color w:val="FFFFFF"/>
                <w:sz w:val="22"/>
                <w:szCs w:val="22"/>
              </w:rPr>
              <w:t>País Vasco</w:t>
            </w:r>
          </w:p>
        </w:tc>
        <w:tc>
          <w:tcPr>
            <w:tcW w:w="1985" w:type="dxa"/>
            <w:shd w:val="clear" w:color="auto" w:fill="B4C6E7"/>
            <w:vAlign w:val="bottom"/>
          </w:tcPr>
          <w:p w14:paraId="4D6E27E7" w14:textId="77777777" w:rsidR="00EE22B1" w:rsidRDefault="00000000">
            <w:pPr>
              <w:jc w:val="center"/>
              <w:rPr>
                <w:rFonts w:ascii="Open Sans" w:eastAsia="Open Sans" w:hAnsi="Open Sans" w:cs="Open Sans"/>
                <w:color w:val="000000"/>
                <w:sz w:val="22"/>
                <w:szCs w:val="22"/>
              </w:rPr>
            </w:pPr>
            <w:r>
              <w:rPr>
                <w:rFonts w:ascii="Open Sans" w:eastAsia="Open Sans" w:hAnsi="Open Sans" w:cs="Open Sans"/>
                <w:color w:val="000000"/>
                <w:sz w:val="22"/>
                <w:szCs w:val="22"/>
              </w:rPr>
              <w:t>4,6%</w:t>
            </w:r>
          </w:p>
        </w:tc>
        <w:tc>
          <w:tcPr>
            <w:tcW w:w="1559" w:type="dxa"/>
            <w:shd w:val="clear" w:color="auto" w:fill="B4C6E7"/>
            <w:vAlign w:val="bottom"/>
          </w:tcPr>
          <w:p w14:paraId="15FDA528" w14:textId="77777777" w:rsidR="00EE22B1" w:rsidRDefault="00000000">
            <w:pPr>
              <w:jc w:val="center"/>
              <w:rPr>
                <w:rFonts w:ascii="Open Sans" w:eastAsia="Open Sans" w:hAnsi="Open Sans" w:cs="Open Sans"/>
                <w:color w:val="000000"/>
                <w:sz w:val="22"/>
                <w:szCs w:val="22"/>
              </w:rPr>
            </w:pPr>
            <w:r>
              <w:rPr>
                <w:rFonts w:ascii="Open Sans" w:eastAsia="Open Sans" w:hAnsi="Open Sans" w:cs="Open Sans"/>
                <w:color w:val="000000"/>
                <w:sz w:val="22"/>
                <w:szCs w:val="22"/>
              </w:rPr>
              <w:t>5,5%</w:t>
            </w:r>
          </w:p>
        </w:tc>
        <w:tc>
          <w:tcPr>
            <w:tcW w:w="1701" w:type="dxa"/>
            <w:shd w:val="clear" w:color="auto" w:fill="B4C6E7"/>
            <w:vAlign w:val="bottom"/>
          </w:tcPr>
          <w:p w14:paraId="3EB5BA03" w14:textId="77777777" w:rsidR="00EE22B1" w:rsidRDefault="00000000">
            <w:pPr>
              <w:jc w:val="center"/>
              <w:rPr>
                <w:rFonts w:ascii="Open Sans" w:eastAsia="Open Sans" w:hAnsi="Open Sans" w:cs="Open Sans"/>
                <w:b/>
                <w:bCs/>
                <w:color w:val="000000"/>
                <w:sz w:val="22"/>
                <w:szCs w:val="22"/>
              </w:rPr>
            </w:pPr>
            <w:r>
              <w:rPr>
                <w:rFonts w:ascii="Open Sans" w:eastAsia="Open Sans" w:hAnsi="Open Sans" w:cs="Open Sans"/>
                <w:color w:val="000000"/>
                <w:sz w:val="22"/>
                <w:szCs w:val="22"/>
              </w:rPr>
              <w:t>5,7%</w:t>
            </w:r>
          </w:p>
        </w:tc>
        <w:tc>
          <w:tcPr>
            <w:tcW w:w="1511" w:type="dxa"/>
            <w:shd w:val="clear" w:color="auto" w:fill="B4C6E7"/>
            <w:vAlign w:val="bottom"/>
          </w:tcPr>
          <w:p w14:paraId="5CADCDB2" w14:textId="77777777" w:rsidR="00EE22B1" w:rsidRDefault="00000000">
            <w:pPr>
              <w:jc w:val="center"/>
              <w:rPr>
                <w:rFonts w:ascii="Open Sans" w:eastAsia="Open Sans" w:hAnsi="Open Sans" w:cs="Open Sans"/>
                <w:b/>
                <w:bCs/>
                <w:color w:val="9C0006"/>
                <w:sz w:val="22"/>
                <w:szCs w:val="22"/>
              </w:rPr>
            </w:pPr>
            <w:r>
              <w:rPr>
                <w:rFonts w:ascii="Open Sans" w:eastAsia="Open Sans" w:hAnsi="Open Sans" w:cs="Open Sans"/>
                <w:b/>
                <w:bCs/>
                <w:color w:val="000000"/>
                <w:sz w:val="22"/>
                <w:szCs w:val="22"/>
              </w:rPr>
              <w:t>5,2%</w:t>
            </w:r>
          </w:p>
        </w:tc>
      </w:tr>
      <w:tr w:rsidR="00EE22B1" w14:paraId="2F32D661" w14:textId="77777777">
        <w:trPr>
          <w:trHeight w:val="273"/>
        </w:trPr>
        <w:tc>
          <w:tcPr>
            <w:tcW w:w="2263" w:type="dxa"/>
            <w:tcBorders>
              <w:left w:val="single" w:sz="4" w:space="0" w:color="FFFFFF"/>
            </w:tcBorders>
            <w:shd w:val="clear" w:color="auto" w:fill="4472C4"/>
            <w:vAlign w:val="bottom"/>
          </w:tcPr>
          <w:p w14:paraId="5E3D28E3" w14:textId="77777777" w:rsidR="00EE22B1" w:rsidRDefault="00000000">
            <w:pPr>
              <w:rPr>
                <w:rFonts w:ascii="Open Sans" w:eastAsia="Open Sans" w:hAnsi="Open Sans" w:cs="Open Sans"/>
                <w:color w:val="FFFFFF"/>
                <w:sz w:val="22"/>
                <w:szCs w:val="22"/>
              </w:rPr>
            </w:pPr>
            <w:r>
              <w:rPr>
                <w:rFonts w:ascii="Open Sans" w:eastAsia="Open Sans" w:hAnsi="Open Sans" w:cs="Open Sans"/>
                <w:color w:val="FFFFFF"/>
                <w:sz w:val="22"/>
                <w:szCs w:val="22"/>
              </w:rPr>
              <w:t>Andalucía</w:t>
            </w:r>
          </w:p>
        </w:tc>
        <w:tc>
          <w:tcPr>
            <w:tcW w:w="1985" w:type="dxa"/>
            <w:shd w:val="clear" w:color="auto" w:fill="D9E2F3"/>
            <w:vAlign w:val="bottom"/>
          </w:tcPr>
          <w:p w14:paraId="6B56779C" w14:textId="77777777" w:rsidR="00EE22B1" w:rsidRDefault="00000000">
            <w:pPr>
              <w:jc w:val="center"/>
              <w:rPr>
                <w:rFonts w:ascii="Open Sans" w:eastAsia="Open Sans" w:hAnsi="Open Sans" w:cs="Open Sans"/>
                <w:color w:val="000000"/>
                <w:sz w:val="22"/>
                <w:szCs w:val="22"/>
              </w:rPr>
            </w:pPr>
            <w:r>
              <w:rPr>
                <w:rFonts w:ascii="Open Sans" w:eastAsia="Open Sans" w:hAnsi="Open Sans" w:cs="Open Sans"/>
                <w:color w:val="000000"/>
                <w:sz w:val="22"/>
                <w:szCs w:val="22"/>
              </w:rPr>
              <w:t>5,3%</w:t>
            </w:r>
          </w:p>
        </w:tc>
        <w:tc>
          <w:tcPr>
            <w:tcW w:w="1559" w:type="dxa"/>
            <w:shd w:val="clear" w:color="auto" w:fill="D9E2F3"/>
            <w:vAlign w:val="bottom"/>
          </w:tcPr>
          <w:p w14:paraId="6F379222" w14:textId="77777777" w:rsidR="00EE22B1" w:rsidRDefault="00000000">
            <w:pPr>
              <w:jc w:val="center"/>
              <w:rPr>
                <w:rFonts w:ascii="Open Sans" w:eastAsia="Open Sans" w:hAnsi="Open Sans" w:cs="Open Sans"/>
                <w:color w:val="000000"/>
                <w:sz w:val="22"/>
                <w:szCs w:val="22"/>
              </w:rPr>
            </w:pPr>
            <w:r>
              <w:rPr>
                <w:rFonts w:ascii="Open Sans" w:eastAsia="Open Sans" w:hAnsi="Open Sans" w:cs="Open Sans"/>
                <w:color w:val="000000"/>
                <w:sz w:val="22"/>
                <w:szCs w:val="22"/>
              </w:rPr>
              <w:t>6,1%</w:t>
            </w:r>
          </w:p>
        </w:tc>
        <w:tc>
          <w:tcPr>
            <w:tcW w:w="1701" w:type="dxa"/>
            <w:shd w:val="clear" w:color="auto" w:fill="D9E2F3"/>
            <w:vAlign w:val="bottom"/>
          </w:tcPr>
          <w:p w14:paraId="41EE02EF" w14:textId="77777777" w:rsidR="00EE22B1" w:rsidRDefault="00000000">
            <w:pPr>
              <w:jc w:val="center"/>
              <w:rPr>
                <w:rFonts w:ascii="Open Sans" w:eastAsia="Open Sans" w:hAnsi="Open Sans" w:cs="Open Sans"/>
                <w:b/>
                <w:bCs/>
                <w:color w:val="000000"/>
                <w:sz w:val="22"/>
                <w:szCs w:val="22"/>
              </w:rPr>
            </w:pPr>
            <w:r>
              <w:rPr>
                <w:rFonts w:ascii="Open Sans" w:eastAsia="Open Sans" w:hAnsi="Open Sans" w:cs="Open Sans"/>
                <w:color w:val="000000"/>
                <w:sz w:val="22"/>
                <w:szCs w:val="22"/>
              </w:rPr>
              <w:t>5,4%</w:t>
            </w:r>
          </w:p>
        </w:tc>
        <w:tc>
          <w:tcPr>
            <w:tcW w:w="1511" w:type="dxa"/>
            <w:shd w:val="clear" w:color="auto" w:fill="D9E2F3"/>
            <w:vAlign w:val="bottom"/>
          </w:tcPr>
          <w:p w14:paraId="62F369E8" w14:textId="77777777" w:rsidR="00EE22B1" w:rsidRDefault="00000000">
            <w:pPr>
              <w:jc w:val="center"/>
              <w:rPr>
                <w:rFonts w:ascii="Open Sans" w:eastAsia="Open Sans" w:hAnsi="Open Sans" w:cs="Open Sans"/>
                <w:b/>
                <w:bCs/>
                <w:color w:val="9C0006"/>
                <w:sz w:val="22"/>
                <w:szCs w:val="22"/>
              </w:rPr>
            </w:pPr>
            <w:r>
              <w:rPr>
                <w:rFonts w:ascii="Open Sans" w:eastAsia="Open Sans" w:hAnsi="Open Sans" w:cs="Open Sans"/>
                <w:b/>
                <w:bCs/>
                <w:color w:val="000000"/>
                <w:sz w:val="22"/>
                <w:szCs w:val="22"/>
              </w:rPr>
              <w:t>4,9%</w:t>
            </w:r>
          </w:p>
        </w:tc>
      </w:tr>
      <w:tr w:rsidR="00EE22B1" w14:paraId="29413979" w14:textId="77777777">
        <w:trPr>
          <w:trHeight w:val="273"/>
        </w:trPr>
        <w:tc>
          <w:tcPr>
            <w:tcW w:w="2263" w:type="dxa"/>
            <w:tcBorders>
              <w:left w:val="single" w:sz="4" w:space="0" w:color="FFFFFF"/>
            </w:tcBorders>
            <w:shd w:val="clear" w:color="auto" w:fill="4472C4"/>
            <w:vAlign w:val="bottom"/>
          </w:tcPr>
          <w:p w14:paraId="4C570CB2" w14:textId="77777777" w:rsidR="00EE22B1" w:rsidRDefault="00000000">
            <w:pPr>
              <w:rPr>
                <w:rFonts w:ascii="Open Sans" w:eastAsia="Open Sans" w:hAnsi="Open Sans" w:cs="Open Sans"/>
                <w:color w:val="FFFFFF"/>
                <w:sz w:val="22"/>
                <w:szCs w:val="22"/>
              </w:rPr>
            </w:pPr>
            <w:r>
              <w:rPr>
                <w:rFonts w:ascii="Open Sans" w:eastAsia="Open Sans" w:hAnsi="Open Sans" w:cs="Open Sans"/>
                <w:color w:val="FFFFFF"/>
                <w:sz w:val="22"/>
                <w:szCs w:val="22"/>
              </w:rPr>
              <w:t>Madrid</w:t>
            </w:r>
          </w:p>
        </w:tc>
        <w:tc>
          <w:tcPr>
            <w:tcW w:w="1985" w:type="dxa"/>
            <w:shd w:val="clear" w:color="auto" w:fill="B4C6E7"/>
            <w:vAlign w:val="bottom"/>
          </w:tcPr>
          <w:p w14:paraId="428EF11D" w14:textId="77777777" w:rsidR="00EE22B1" w:rsidRDefault="00000000">
            <w:pPr>
              <w:jc w:val="center"/>
              <w:rPr>
                <w:rFonts w:ascii="Open Sans" w:eastAsia="Open Sans" w:hAnsi="Open Sans" w:cs="Open Sans"/>
                <w:color w:val="000000"/>
                <w:sz w:val="22"/>
                <w:szCs w:val="22"/>
              </w:rPr>
            </w:pPr>
            <w:r>
              <w:rPr>
                <w:rFonts w:ascii="Open Sans" w:eastAsia="Open Sans" w:hAnsi="Open Sans" w:cs="Open Sans"/>
                <w:color w:val="000000"/>
                <w:sz w:val="22"/>
                <w:szCs w:val="22"/>
              </w:rPr>
              <w:t>5,7%</w:t>
            </w:r>
          </w:p>
        </w:tc>
        <w:tc>
          <w:tcPr>
            <w:tcW w:w="1559" w:type="dxa"/>
            <w:shd w:val="clear" w:color="auto" w:fill="B4C6E7"/>
            <w:vAlign w:val="bottom"/>
          </w:tcPr>
          <w:p w14:paraId="00C4C752" w14:textId="77777777" w:rsidR="00EE22B1" w:rsidRDefault="00000000">
            <w:pPr>
              <w:jc w:val="center"/>
              <w:rPr>
                <w:rFonts w:ascii="Open Sans" w:eastAsia="Open Sans" w:hAnsi="Open Sans" w:cs="Open Sans"/>
                <w:color w:val="000000"/>
                <w:sz w:val="22"/>
                <w:szCs w:val="22"/>
              </w:rPr>
            </w:pPr>
            <w:r>
              <w:rPr>
                <w:rFonts w:ascii="Open Sans" w:eastAsia="Open Sans" w:hAnsi="Open Sans" w:cs="Open Sans"/>
                <w:color w:val="000000"/>
                <w:sz w:val="22"/>
                <w:szCs w:val="22"/>
              </w:rPr>
              <w:t>5,3%</w:t>
            </w:r>
          </w:p>
        </w:tc>
        <w:tc>
          <w:tcPr>
            <w:tcW w:w="1701" w:type="dxa"/>
            <w:shd w:val="clear" w:color="auto" w:fill="B4C6E7"/>
            <w:vAlign w:val="bottom"/>
          </w:tcPr>
          <w:p w14:paraId="181F49D7" w14:textId="77777777" w:rsidR="00EE22B1" w:rsidRDefault="00000000">
            <w:pPr>
              <w:jc w:val="center"/>
              <w:rPr>
                <w:rFonts w:ascii="Open Sans" w:eastAsia="Open Sans" w:hAnsi="Open Sans" w:cs="Open Sans"/>
                <w:b/>
                <w:bCs/>
                <w:color w:val="000000"/>
                <w:sz w:val="22"/>
                <w:szCs w:val="22"/>
              </w:rPr>
            </w:pPr>
            <w:r>
              <w:rPr>
                <w:rFonts w:ascii="Open Sans" w:eastAsia="Open Sans" w:hAnsi="Open Sans" w:cs="Open Sans"/>
                <w:color w:val="000000"/>
                <w:sz w:val="22"/>
                <w:szCs w:val="22"/>
              </w:rPr>
              <w:t>5,4%</w:t>
            </w:r>
          </w:p>
        </w:tc>
        <w:tc>
          <w:tcPr>
            <w:tcW w:w="1511" w:type="dxa"/>
            <w:shd w:val="clear" w:color="auto" w:fill="B4C6E7"/>
            <w:vAlign w:val="bottom"/>
          </w:tcPr>
          <w:p w14:paraId="036087AA" w14:textId="77777777" w:rsidR="00EE22B1" w:rsidRDefault="00000000">
            <w:pPr>
              <w:jc w:val="center"/>
              <w:rPr>
                <w:rFonts w:ascii="Open Sans" w:eastAsia="Open Sans" w:hAnsi="Open Sans" w:cs="Open Sans"/>
                <w:b/>
                <w:bCs/>
                <w:color w:val="9C0006"/>
                <w:sz w:val="22"/>
                <w:szCs w:val="22"/>
              </w:rPr>
            </w:pPr>
            <w:r>
              <w:rPr>
                <w:rFonts w:ascii="Open Sans" w:eastAsia="Open Sans" w:hAnsi="Open Sans" w:cs="Open Sans"/>
                <w:b/>
                <w:bCs/>
                <w:color w:val="000000"/>
                <w:sz w:val="22"/>
                <w:szCs w:val="22"/>
              </w:rPr>
              <w:t>4,9%</w:t>
            </w:r>
          </w:p>
        </w:tc>
      </w:tr>
      <w:tr w:rsidR="00EE22B1" w14:paraId="653E808D" w14:textId="77777777">
        <w:trPr>
          <w:trHeight w:val="273"/>
        </w:trPr>
        <w:tc>
          <w:tcPr>
            <w:tcW w:w="2263" w:type="dxa"/>
            <w:tcBorders>
              <w:left w:val="single" w:sz="4" w:space="0" w:color="FFFFFF"/>
              <w:bottom w:val="single" w:sz="4" w:space="0" w:color="FFFFFF"/>
            </w:tcBorders>
            <w:shd w:val="clear" w:color="auto" w:fill="4472C4"/>
            <w:vAlign w:val="bottom"/>
          </w:tcPr>
          <w:p w14:paraId="46469556" w14:textId="77777777" w:rsidR="00EE22B1" w:rsidRDefault="00000000">
            <w:pPr>
              <w:rPr>
                <w:rFonts w:ascii="Open Sans" w:eastAsia="Open Sans" w:hAnsi="Open Sans" w:cs="Open Sans"/>
                <w:color w:val="FFFFFF"/>
                <w:sz w:val="22"/>
                <w:szCs w:val="22"/>
              </w:rPr>
            </w:pPr>
            <w:r>
              <w:rPr>
                <w:rFonts w:ascii="Open Sans" w:eastAsia="Open Sans" w:hAnsi="Open Sans" w:cs="Open Sans"/>
                <w:color w:val="FFFFFF"/>
                <w:sz w:val="22"/>
                <w:szCs w:val="22"/>
              </w:rPr>
              <w:t>Baleares</w:t>
            </w:r>
          </w:p>
        </w:tc>
        <w:tc>
          <w:tcPr>
            <w:tcW w:w="1985" w:type="dxa"/>
            <w:shd w:val="clear" w:color="auto" w:fill="D9E2F3"/>
            <w:vAlign w:val="bottom"/>
          </w:tcPr>
          <w:p w14:paraId="1CDBD32E" w14:textId="77777777" w:rsidR="00EE22B1" w:rsidRDefault="00000000">
            <w:pPr>
              <w:jc w:val="center"/>
              <w:rPr>
                <w:rFonts w:ascii="Open Sans" w:eastAsia="Open Sans" w:hAnsi="Open Sans" w:cs="Open Sans"/>
                <w:b/>
                <w:bCs/>
                <w:color w:val="000000"/>
                <w:sz w:val="22"/>
                <w:szCs w:val="22"/>
              </w:rPr>
            </w:pPr>
            <w:r>
              <w:rPr>
                <w:rFonts w:ascii="Open Sans" w:eastAsia="Open Sans" w:hAnsi="Open Sans" w:cs="Open Sans"/>
                <w:color w:val="000000"/>
                <w:sz w:val="22"/>
                <w:szCs w:val="22"/>
              </w:rPr>
              <w:t>6,6%</w:t>
            </w:r>
          </w:p>
        </w:tc>
        <w:tc>
          <w:tcPr>
            <w:tcW w:w="1559" w:type="dxa"/>
            <w:shd w:val="clear" w:color="auto" w:fill="D9E2F3"/>
            <w:vAlign w:val="bottom"/>
          </w:tcPr>
          <w:p w14:paraId="38416015" w14:textId="77777777" w:rsidR="00EE22B1" w:rsidRDefault="00000000">
            <w:pPr>
              <w:jc w:val="center"/>
              <w:rPr>
                <w:rFonts w:ascii="Open Sans" w:eastAsia="Open Sans" w:hAnsi="Open Sans" w:cs="Open Sans"/>
                <w:b/>
                <w:bCs/>
                <w:color w:val="000000"/>
                <w:sz w:val="22"/>
                <w:szCs w:val="22"/>
              </w:rPr>
            </w:pPr>
            <w:r>
              <w:rPr>
                <w:rFonts w:ascii="Open Sans" w:eastAsia="Open Sans" w:hAnsi="Open Sans" w:cs="Open Sans"/>
                <w:color w:val="000000"/>
                <w:sz w:val="22"/>
                <w:szCs w:val="22"/>
              </w:rPr>
              <w:t>4,8%</w:t>
            </w:r>
          </w:p>
        </w:tc>
        <w:tc>
          <w:tcPr>
            <w:tcW w:w="1701" w:type="dxa"/>
            <w:shd w:val="clear" w:color="auto" w:fill="D9E2F3"/>
            <w:vAlign w:val="bottom"/>
          </w:tcPr>
          <w:p w14:paraId="3F0FCD56" w14:textId="77777777" w:rsidR="00EE22B1" w:rsidRDefault="00000000">
            <w:pPr>
              <w:jc w:val="center"/>
              <w:rPr>
                <w:rFonts w:ascii="Open Sans" w:eastAsia="Open Sans" w:hAnsi="Open Sans" w:cs="Open Sans"/>
                <w:b/>
                <w:bCs/>
                <w:color w:val="000000"/>
                <w:sz w:val="22"/>
                <w:szCs w:val="22"/>
              </w:rPr>
            </w:pPr>
            <w:r>
              <w:rPr>
                <w:rFonts w:ascii="Open Sans" w:eastAsia="Open Sans" w:hAnsi="Open Sans" w:cs="Open Sans"/>
                <w:color w:val="000000"/>
                <w:sz w:val="22"/>
                <w:szCs w:val="22"/>
              </w:rPr>
              <w:t>4,3%</w:t>
            </w:r>
          </w:p>
        </w:tc>
        <w:tc>
          <w:tcPr>
            <w:tcW w:w="1511" w:type="dxa"/>
            <w:shd w:val="clear" w:color="auto" w:fill="D9E2F3"/>
            <w:vAlign w:val="bottom"/>
          </w:tcPr>
          <w:p w14:paraId="5C452F90" w14:textId="77777777" w:rsidR="00EE22B1" w:rsidRDefault="00000000">
            <w:pPr>
              <w:jc w:val="center"/>
              <w:rPr>
                <w:rFonts w:ascii="Open Sans" w:eastAsia="Open Sans" w:hAnsi="Open Sans" w:cs="Open Sans"/>
                <w:b/>
                <w:bCs/>
                <w:color w:val="9C0006"/>
                <w:sz w:val="22"/>
                <w:szCs w:val="22"/>
              </w:rPr>
            </w:pPr>
            <w:r>
              <w:rPr>
                <w:rFonts w:ascii="Open Sans" w:eastAsia="Open Sans" w:hAnsi="Open Sans" w:cs="Open Sans"/>
                <w:b/>
                <w:bCs/>
                <w:color w:val="000000"/>
                <w:sz w:val="22"/>
                <w:szCs w:val="22"/>
              </w:rPr>
              <w:t>4,2%</w:t>
            </w:r>
          </w:p>
        </w:tc>
      </w:tr>
    </w:tbl>
    <w:p w14:paraId="29D687E0" w14:textId="77777777" w:rsidR="00EE22B1" w:rsidRDefault="00000000">
      <w:pPr>
        <w:pBdr>
          <w:top w:val="nil"/>
          <w:left w:val="nil"/>
          <w:bottom w:val="nil"/>
          <w:right w:val="nil"/>
          <w:between w:val="nil"/>
        </w:pBdr>
        <w:shd w:val="clear" w:color="auto" w:fill="FFFFFF"/>
        <w:spacing w:before="280" w:after="280" w:line="276" w:lineRule="auto"/>
        <w:ind w:left="-142" w:right="-574"/>
        <w:jc w:val="both"/>
        <w:rPr>
          <w:rFonts w:ascii="Open Sans Light" w:eastAsia="Open Sans Light" w:hAnsi="Open Sans Light" w:cs="Open Sans Light"/>
          <w:b/>
          <w:bCs/>
          <w:color w:val="303AB2"/>
          <w:sz w:val="28"/>
          <w:szCs w:val="28"/>
        </w:rPr>
      </w:pPr>
      <w:r>
        <w:rPr>
          <w:rFonts w:ascii="Open Sans Light" w:eastAsia="Open Sans Light" w:hAnsi="Open Sans Light" w:cs="Open Sans Light"/>
          <w:b/>
          <w:bCs/>
          <w:color w:val="303AB2"/>
        </w:rPr>
        <w:t>Tabla 2. Rentabilidad de la vivienda por provincias en 2016, 2021, 2025 y 2026</w:t>
      </w:r>
    </w:p>
    <w:tbl>
      <w:tblPr>
        <w:tblStyle w:val="a0"/>
        <w:tblW w:w="9123"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263"/>
        <w:gridCol w:w="1701"/>
        <w:gridCol w:w="1701"/>
        <w:gridCol w:w="1843"/>
        <w:gridCol w:w="1615"/>
      </w:tblGrid>
      <w:tr w:rsidR="00EE22B1" w14:paraId="5CCE886A" w14:textId="77777777" w:rsidTr="00EE22B1">
        <w:trPr>
          <w:cnfStyle w:val="100000000000" w:firstRow="1" w:lastRow="0" w:firstColumn="0" w:lastColumn="0" w:oddVBand="0" w:evenVBand="0" w:oddHBand="0"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2627705F"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Provincia</w:t>
            </w:r>
          </w:p>
        </w:tc>
        <w:tc>
          <w:tcPr>
            <w:tcW w:w="1701" w:type="dxa"/>
            <w:vAlign w:val="center"/>
          </w:tcPr>
          <w:p w14:paraId="520EB7BD" w14:textId="77777777" w:rsidR="00EE22B1" w:rsidRDefault="00000000">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b w:val="0"/>
                <w:bCs w:val="0"/>
                <w:color w:val="000000"/>
                <w:sz w:val="22"/>
                <w:szCs w:val="22"/>
              </w:rPr>
              <w:t>Rentabilidad</w:t>
            </w:r>
          </w:p>
          <w:p w14:paraId="19ABB597" w14:textId="77777777" w:rsidR="00EE22B1" w:rsidRDefault="00000000">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b w:val="0"/>
                <w:bCs w:val="0"/>
                <w:color w:val="000000"/>
                <w:sz w:val="22"/>
                <w:szCs w:val="22"/>
              </w:rPr>
              <w:t>2T-2016</w:t>
            </w:r>
          </w:p>
          <w:p w14:paraId="6B6212DB" w14:textId="77777777" w:rsidR="00EE22B1" w:rsidRDefault="00000000">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b w:val="0"/>
                <w:bCs w:val="0"/>
                <w:color w:val="000000"/>
                <w:sz w:val="22"/>
                <w:szCs w:val="22"/>
              </w:rPr>
              <w:t>(10 años)</w:t>
            </w:r>
          </w:p>
        </w:tc>
        <w:tc>
          <w:tcPr>
            <w:tcW w:w="1701" w:type="dxa"/>
            <w:vAlign w:val="center"/>
          </w:tcPr>
          <w:p w14:paraId="2C7A53D2" w14:textId="77777777" w:rsidR="00EE22B1" w:rsidRDefault="00000000">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b w:val="0"/>
                <w:bCs w:val="0"/>
                <w:color w:val="000000"/>
                <w:sz w:val="22"/>
                <w:szCs w:val="22"/>
              </w:rPr>
              <w:t>Rentabilidad</w:t>
            </w:r>
          </w:p>
          <w:p w14:paraId="6BEE674B" w14:textId="77777777" w:rsidR="00EE22B1" w:rsidRDefault="00000000">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b w:val="0"/>
                <w:bCs w:val="0"/>
                <w:color w:val="000000"/>
                <w:sz w:val="22"/>
                <w:szCs w:val="22"/>
              </w:rPr>
              <w:t>2T-2021</w:t>
            </w:r>
          </w:p>
          <w:p w14:paraId="33FD9771" w14:textId="77777777" w:rsidR="00EE22B1" w:rsidRDefault="00000000">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b w:val="0"/>
                <w:bCs w:val="0"/>
                <w:color w:val="000000"/>
                <w:sz w:val="22"/>
                <w:szCs w:val="22"/>
              </w:rPr>
              <w:t>(5 años)</w:t>
            </w:r>
          </w:p>
        </w:tc>
        <w:tc>
          <w:tcPr>
            <w:tcW w:w="1843" w:type="dxa"/>
            <w:vAlign w:val="center"/>
          </w:tcPr>
          <w:p w14:paraId="22A792CF" w14:textId="77777777" w:rsidR="00EE22B1" w:rsidRDefault="00000000">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b w:val="0"/>
                <w:bCs w:val="0"/>
                <w:color w:val="000000"/>
                <w:sz w:val="22"/>
                <w:szCs w:val="22"/>
              </w:rPr>
              <w:t>Rentabilidad</w:t>
            </w:r>
          </w:p>
          <w:p w14:paraId="11B7D0FD" w14:textId="77777777" w:rsidR="00EE22B1" w:rsidRDefault="00000000">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b w:val="0"/>
                <w:bCs w:val="0"/>
                <w:color w:val="000000"/>
                <w:sz w:val="22"/>
                <w:szCs w:val="22"/>
              </w:rPr>
              <w:t>2T-2025</w:t>
            </w:r>
          </w:p>
          <w:p w14:paraId="53D93FD1" w14:textId="77777777" w:rsidR="00EE22B1" w:rsidRDefault="00000000">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i/>
                <w:iCs/>
                <w:color w:val="000000"/>
                <w:sz w:val="22"/>
                <w:szCs w:val="22"/>
              </w:rPr>
            </w:pPr>
            <w:r>
              <w:rPr>
                <w:rFonts w:ascii="Open Sans" w:eastAsia="Open Sans" w:hAnsi="Open Sans" w:cs="Open Sans"/>
                <w:b w:val="0"/>
                <w:bCs w:val="0"/>
                <w:color w:val="000000"/>
                <w:sz w:val="22"/>
                <w:szCs w:val="22"/>
              </w:rPr>
              <w:t>(1 año)</w:t>
            </w:r>
          </w:p>
        </w:tc>
        <w:tc>
          <w:tcPr>
            <w:tcW w:w="1615" w:type="dxa"/>
            <w:vAlign w:val="center"/>
          </w:tcPr>
          <w:p w14:paraId="507220D2" w14:textId="77777777" w:rsidR="00EE22B1" w:rsidRDefault="00000000">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b w:val="0"/>
                <w:bCs w:val="0"/>
                <w:color w:val="000000"/>
                <w:sz w:val="22"/>
                <w:szCs w:val="22"/>
              </w:rPr>
              <w:t>Rentabilidad</w:t>
            </w:r>
          </w:p>
          <w:p w14:paraId="456207B5" w14:textId="77777777" w:rsidR="00EE22B1" w:rsidRDefault="00000000">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b w:val="0"/>
                <w:bCs w:val="0"/>
                <w:color w:val="000000"/>
                <w:sz w:val="22"/>
                <w:szCs w:val="22"/>
              </w:rPr>
              <w:t>2T-2026</w:t>
            </w:r>
          </w:p>
        </w:tc>
      </w:tr>
      <w:tr w:rsidR="00EE22B1" w14:paraId="0FD3C30B" w14:textId="77777777" w:rsidTr="00EE22B1">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263" w:type="dxa"/>
            <w:vAlign w:val="bottom"/>
          </w:tcPr>
          <w:p w14:paraId="7A54264B"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Almería</w:t>
            </w:r>
          </w:p>
        </w:tc>
        <w:tc>
          <w:tcPr>
            <w:tcW w:w="1701" w:type="dxa"/>
            <w:vAlign w:val="bottom"/>
          </w:tcPr>
          <w:p w14:paraId="094DF8A5"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5,4%</w:t>
            </w:r>
          </w:p>
        </w:tc>
        <w:tc>
          <w:tcPr>
            <w:tcW w:w="1701" w:type="dxa"/>
            <w:vAlign w:val="bottom"/>
          </w:tcPr>
          <w:p w14:paraId="0F488CEA"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7,5%</w:t>
            </w:r>
          </w:p>
        </w:tc>
        <w:tc>
          <w:tcPr>
            <w:tcW w:w="1843" w:type="dxa"/>
            <w:vAlign w:val="bottom"/>
          </w:tcPr>
          <w:p w14:paraId="6D529E9C"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7,7%</w:t>
            </w:r>
          </w:p>
        </w:tc>
        <w:tc>
          <w:tcPr>
            <w:tcW w:w="1615" w:type="dxa"/>
            <w:vAlign w:val="bottom"/>
          </w:tcPr>
          <w:p w14:paraId="159BA9F4"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6,7%</w:t>
            </w:r>
          </w:p>
        </w:tc>
      </w:tr>
      <w:tr w:rsidR="00EE22B1" w14:paraId="4F88A19E" w14:textId="77777777" w:rsidTr="00EE22B1">
        <w:trPr>
          <w:trHeight w:val="279"/>
        </w:trPr>
        <w:tc>
          <w:tcPr>
            <w:cnfStyle w:val="001000000000" w:firstRow="0" w:lastRow="0" w:firstColumn="1" w:lastColumn="0" w:oddVBand="0" w:evenVBand="0" w:oddHBand="0" w:evenHBand="0" w:firstRowFirstColumn="0" w:firstRowLastColumn="0" w:lastRowFirstColumn="0" w:lastRowLastColumn="0"/>
            <w:tcW w:w="2263" w:type="dxa"/>
            <w:vAlign w:val="bottom"/>
          </w:tcPr>
          <w:p w14:paraId="49EE48D3"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Cádiz</w:t>
            </w:r>
          </w:p>
        </w:tc>
        <w:tc>
          <w:tcPr>
            <w:tcW w:w="1701" w:type="dxa"/>
            <w:vAlign w:val="bottom"/>
          </w:tcPr>
          <w:p w14:paraId="556C9999"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6,0%</w:t>
            </w:r>
          </w:p>
        </w:tc>
        <w:tc>
          <w:tcPr>
            <w:tcW w:w="1701" w:type="dxa"/>
            <w:vAlign w:val="bottom"/>
          </w:tcPr>
          <w:p w14:paraId="424D5F58"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6,6%</w:t>
            </w:r>
          </w:p>
        </w:tc>
        <w:tc>
          <w:tcPr>
            <w:tcW w:w="1843" w:type="dxa"/>
            <w:vAlign w:val="bottom"/>
          </w:tcPr>
          <w:p w14:paraId="2D4F87DD"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6,3%</w:t>
            </w:r>
          </w:p>
        </w:tc>
        <w:tc>
          <w:tcPr>
            <w:tcW w:w="1615" w:type="dxa"/>
            <w:vAlign w:val="bottom"/>
          </w:tcPr>
          <w:p w14:paraId="5F1BFB68"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6,1%</w:t>
            </w:r>
          </w:p>
        </w:tc>
      </w:tr>
      <w:tr w:rsidR="00EE22B1" w14:paraId="48E4BBF3" w14:textId="77777777" w:rsidTr="00EE22B1">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263" w:type="dxa"/>
            <w:vAlign w:val="bottom"/>
          </w:tcPr>
          <w:p w14:paraId="47AD0643"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lastRenderedPageBreak/>
              <w:t>Córdoba</w:t>
            </w:r>
          </w:p>
        </w:tc>
        <w:tc>
          <w:tcPr>
            <w:tcW w:w="1701" w:type="dxa"/>
            <w:vAlign w:val="bottom"/>
          </w:tcPr>
          <w:p w14:paraId="53D60657"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5,3%</w:t>
            </w:r>
          </w:p>
        </w:tc>
        <w:tc>
          <w:tcPr>
            <w:tcW w:w="1701" w:type="dxa"/>
            <w:vAlign w:val="bottom"/>
          </w:tcPr>
          <w:p w14:paraId="54BE14D1"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6,3%</w:t>
            </w:r>
          </w:p>
        </w:tc>
        <w:tc>
          <w:tcPr>
            <w:tcW w:w="1843" w:type="dxa"/>
            <w:vAlign w:val="bottom"/>
          </w:tcPr>
          <w:p w14:paraId="1B316E45"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6,9%</w:t>
            </w:r>
          </w:p>
        </w:tc>
        <w:tc>
          <w:tcPr>
            <w:tcW w:w="1615" w:type="dxa"/>
            <w:vAlign w:val="bottom"/>
          </w:tcPr>
          <w:p w14:paraId="52600676"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6,5%</w:t>
            </w:r>
          </w:p>
        </w:tc>
      </w:tr>
      <w:tr w:rsidR="00EE22B1" w14:paraId="4AE12E63" w14:textId="77777777" w:rsidTr="00EE22B1">
        <w:trPr>
          <w:trHeight w:val="279"/>
        </w:trPr>
        <w:tc>
          <w:tcPr>
            <w:cnfStyle w:val="001000000000" w:firstRow="0" w:lastRow="0" w:firstColumn="1" w:lastColumn="0" w:oddVBand="0" w:evenVBand="0" w:oddHBand="0" w:evenHBand="0" w:firstRowFirstColumn="0" w:firstRowLastColumn="0" w:lastRowFirstColumn="0" w:lastRowLastColumn="0"/>
            <w:tcW w:w="2263" w:type="dxa"/>
            <w:vAlign w:val="bottom"/>
          </w:tcPr>
          <w:p w14:paraId="0A0B4660"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Granada</w:t>
            </w:r>
          </w:p>
        </w:tc>
        <w:tc>
          <w:tcPr>
            <w:tcW w:w="1701" w:type="dxa"/>
            <w:vAlign w:val="bottom"/>
          </w:tcPr>
          <w:p w14:paraId="6D979655"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4,9%</w:t>
            </w:r>
          </w:p>
        </w:tc>
        <w:tc>
          <w:tcPr>
            <w:tcW w:w="1701" w:type="dxa"/>
            <w:vAlign w:val="bottom"/>
          </w:tcPr>
          <w:p w14:paraId="6B6F2354"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6,1%</w:t>
            </w:r>
          </w:p>
        </w:tc>
        <w:tc>
          <w:tcPr>
            <w:tcW w:w="1843" w:type="dxa"/>
            <w:vAlign w:val="bottom"/>
          </w:tcPr>
          <w:p w14:paraId="21AB2F73"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5,3%</w:t>
            </w:r>
          </w:p>
        </w:tc>
        <w:tc>
          <w:tcPr>
            <w:tcW w:w="1615" w:type="dxa"/>
            <w:vAlign w:val="bottom"/>
          </w:tcPr>
          <w:p w14:paraId="3F4811D7"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5,3%</w:t>
            </w:r>
          </w:p>
        </w:tc>
      </w:tr>
      <w:tr w:rsidR="00EE22B1" w14:paraId="49C6EBBE" w14:textId="77777777" w:rsidTr="00EE22B1">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263" w:type="dxa"/>
            <w:vAlign w:val="bottom"/>
          </w:tcPr>
          <w:p w14:paraId="3BBD582B"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Huelva</w:t>
            </w:r>
          </w:p>
        </w:tc>
        <w:tc>
          <w:tcPr>
            <w:tcW w:w="1701" w:type="dxa"/>
            <w:vAlign w:val="bottom"/>
          </w:tcPr>
          <w:p w14:paraId="69EC390B"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6,5%</w:t>
            </w:r>
          </w:p>
        </w:tc>
        <w:tc>
          <w:tcPr>
            <w:tcW w:w="1701" w:type="dxa"/>
            <w:vAlign w:val="bottom"/>
          </w:tcPr>
          <w:p w14:paraId="26554984"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9,1%</w:t>
            </w:r>
          </w:p>
        </w:tc>
        <w:tc>
          <w:tcPr>
            <w:tcW w:w="1843" w:type="dxa"/>
            <w:vAlign w:val="bottom"/>
          </w:tcPr>
          <w:p w14:paraId="30F223B9"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8,2%</w:t>
            </w:r>
          </w:p>
        </w:tc>
        <w:tc>
          <w:tcPr>
            <w:tcW w:w="1615" w:type="dxa"/>
            <w:vAlign w:val="bottom"/>
          </w:tcPr>
          <w:p w14:paraId="545130B8"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9,4%</w:t>
            </w:r>
          </w:p>
        </w:tc>
      </w:tr>
      <w:tr w:rsidR="00EE22B1" w14:paraId="385B44CA" w14:textId="77777777" w:rsidTr="00EE22B1">
        <w:trPr>
          <w:trHeight w:val="279"/>
        </w:trPr>
        <w:tc>
          <w:tcPr>
            <w:cnfStyle w:val="001000000000" w:firstRow="0" w:lastRow="0" w:firstColumn="1" w:lastColumn="0" w:oddVBand="0" w:evenVBand="0" w:oddHBand="0" w:evenHBand="0" w:firstRowFirstColumn="0" w:firstRowLastColumn="0" w:lastRowFirstColumn="0" w:lastRowLastColumn="0"/>
            <w:tcW w:w="2263" w:type="dxa"/>
            <w:vAlign w:val="bottom"/>
          </w:tcPr>
          <w:p w14:paraId="6F4EBD40"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Jaén</w:t>
            </w:r>
          </w:p>
        </w:tc>
        <w:tc>
          <w:tcPr>
            <w:tcW w:w="1701" w:type="dxa"/>
            <w:vAlign w:val="bottom"/>
          </w:tcPr>
          <w:p w14:paraId="3ABF294D"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4,6%</w:t>
            </w:r>
          </w:p>
        </w:tc>
        <w:tc>
          <w:tcPr>
            <w:tcW w:w="1701" w:type="dxa"/>
            <w:vAlign w:val="bottom"/>
          </w:tcPr>
          <w:p w14:paraId="52A03BEC"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6,0%</w:t>
            </w:r>
          </w:p>
        </w:tc>
        <w:tc>
          <w:tcPr>
            <w:tcW w:w="1843" w:type="dxa"/>
            <w:vAlign w:val="bottom"/>
          </w:tcPr>
          <w:p w14:paraId="6827BB7A"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8,0%</w:t>
            </w:r>
          </w:p>
        </w:tc>
        <w:tc>
          <w:tcPr>
            <w:tcW w:w="1615" w:type="dxa"/>
            <w:vAlign w:val="bottom"/>
          </w:tcPr>
          <w:p w14:paraId="575022FE"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7,6%</w:t>
            </w:r>
          </w:p>
        </w:tc>
      </w:tr>
      <w:tr w:rsidR="00EE22B1" w14:paraId="26E00078" w14:textId="77777777" w:rsidTr="00EE22B1">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263" w:type="dxa"/>
            <w:vAlign w:val="bottom"/>
          </w:tcPr>
          <w:p w14:paraId="206ABD0C"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Málaga</w:t>
            </w:r>
          </w:p>
        </w:tc>
        <w:tc>
          <w:tcPr>
            <w:tcW w:w="1701" w:type="dxa"/>
            <w:vAlign w:val="bottom"/>
          </w:tcPr>
          <w:p w14:paraId="39E329A9"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5,3%</w:t>
            </w:r>
          </w:p>
        </w:tc>
        <w:tc>
          <w:tcPr>
            <w:tcW w:w="1701" w:type="dxa"/>
            <w:vAlign w:val="bottom"/>
          </w:tcPr>
          <w:p w14:paraId="5AC209FD"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4,9%</w:t>
            </w:r>
          </w:p>
        </w:tc>
        <w:tc>
          <w:tcPr>
            <w:tcW w:w="1843" w:type="dxa"/>
            <w:vAlign w:val="bottom"/>
          </w:tcPr>
          <w:p w14:paraId="610627B1"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4,6%</w:t>
            </w:r>
          </w:p>
        </w:tc>
        <w:tc>
          <w:tcPr>
            <w:tcW w:w="1615" w:type="dxa"/>
            <w:vAlign w:val="bottom"/>
          </w:tcPr>
          <w:p w14:paraId="442DAA03"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4,2%</w:t>
            </w:r>
          </w:p>
        </w:tc>
      </w:tr>
      <w:tr w:rsidR="00EE22B1" w14:paraId="111D6992" w14:textId="77777777" w:rsidTr="00EE22B1">
        <w:trPr>
          <w:trHeight w:val="279"/>
        </w:trPr>
        <w:tc>
          <w:tcPr>
            <w:cnfStyle w:val="001000000000" w:firstRow="0" w:lastRow="0" w:firstColumn="1" w:lastColumn="0" w:oddVBand="0" w:evenVBand="0" w:oddHBand="0" w:evenHBand="0" w:firstRowFirstColumn="0" w:firstRowLastColumn="0" w:lastRowFirstColumn="0" w:lastRowLastColumn="0"/>
            <w:tcW w:w="2263" w:type="dxa"/>
            <w:vAlign w:val="bottom"/>
          </w:tcPr>
          <w:p w14:paraId="7A7ECB17"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Sevilla</w:t>
            </w:r>
          </w:p>
        </w:tc>
        <w:tc>
          <w:tcPr>
            <w:tcW w:w="1701" w:type="dxa"/>
            <w:vAlign w:val="bottom"/>
          </w:tcPr>
          <w:p w14:paraId="6D4226D7"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5,5%</w:t>
            </w:r>
          </w:p>
        </w:tc>
        <w:tc>
          <w:tcPr>
            <w:tcW w:w="1701" w:type="dxa"/>
            <w:vAlign w:val="bottom"/>
          </w:tcPr>
          <w:p w14:paraId="1DD8FF1E"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7,2%</w:t>
            </w:r>
          </w:p>
        </w:tc>
        <w:tc>
          <w:tcPr>
            <w:tcW w:w="1843" w:type="dxa"/>
            <w:vAlign w:val="bottom"/>
          </w:tcPr>
          <w:p w14:paraId="28BFE2DD"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7,8%</w:t>
            </w:r>
          </w:p>
        </w:tc>
        <w:tc>
          <w:tcPr>
            <w:tcW w:w="1615" w:type="dxa"/>
            <w:vAlign w:val="bottom"/>
          </w:tcPr>
          <w:p w14:paraId="646EFE44"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7,4%</w:t>
            </w:r>
          </w:p>
        </w:tc>
      </w:tr>
      <w:tr w:rsidR="00EE22B1" w14:paraId="5A6A8968" w14:textId="77777777" w:rsidTr="00EE22B1">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263" w:type="dxa"/>
            <w:vAlign w:val="bottom"/>
          </w:tcPr>
          <w:p w14:paraId="3067CAF9"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Huesca</w:t>
            </w:r>
          </w:p>
        </w:tc>
        <w:tc>
          <w:tcPr>
            <w:tcW w:w="1701" w:type="dxa"/>
            <w:vAlign w:val="bottom"/>
          </w:tcPr>
          <w:p w14:paraId="18E2907F"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5,3%</w:t>
            </w:r>
          </w:p>
        </w:tc>
        <w:tc>
          <w:tcPr>
            <w:tcW w:w="1701" w:type="dxa"/>
            <w:vAlign w:val="bottom"/>
          </w:tcPr>
          <w:p w14:paraId="46CE0A0A"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6,4%</w:t>
            </w:r>
          </w:p>
        </w:tc>
        <w:tc>
          <w:tcPr>
            <w:tcW w:w="1843" w:type="dxa"/>
            <w:vAlign w:val="bottom"/>
          </w:tcPr>
          <w:p w14:paraId="6963FA6C"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7,3%</w:t>
            </w:r>
          </w:p>
        </w:tc>
        <w:tc>
          <w:tcPr>
            <w:tcW w:w="1615" w:type="dxa"/>
            <w:vAlign w:val="bottom"/>
          </w:tcPr>
          <w:p w14:paraId="3B8AE471"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7,3%</w:t>
            </w:r>
          </w:p>
        </w:tc>
      </w:tr>
      <w:tr w:rsidR="00EE22B1" w14:paraId="5116725A" w14:textId="77777777" w:rsidTr="00EE22B1">
        <w:trPr>
          <w:trHeight w:val="279"/>
        </w:trPr>
        <w:tc>
          <w:tcPr>
            <w:cnfStyle w:val="001000000000" w:firstRow="0" w:lastRow="0" w:firstColumn="1" w:lastColumn="0" w:oddVBand="0" w:evenVBand="0" w:oddHBand="0" w:evenHBand="0" w:firstRowFirstColumn="0" w:firstRowLastColumn="0" w:lastRowFirstColumn="0" w:lastRowLastColumn="0"/>
            <w:tcW w:w="2263" w:type="dxa"/>
            <w:vAlign w:val="bottom"/>
          </w:tcPr>
          <w:p w14:paraId="44264A20"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Teruel</w:t>
            </w:r>
          </w:p>
        </w:tc>
        <w:tc>
          <w:tcPr>
            <w:tcW w:w="1701" w:type="dxa"/>
            <w:vAlign w:val="bottom"/>
          </w:tcPr>
          <w:p w14:paraId="0BF68452"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4,6%</w:t>
            </w:r>
          </w:p>
        </w:tc>
        <w:tc>
          <w:tcPr>
            <w:tcW w:w="1701" w:type="dxa"/>
            <w:vAlign w:val="bottom"/>
          </w:tcPr>
          <w:p w14:paraId="0B3EF756"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0,0%</w:t>
            </w:r>
          </w:p>
        </w:tc>
        <w:tc>
          <w:tcPr>
            <w:tcW w:w="1843" w:type="dxa"/>
            <w:vAlign w:val="bottom"/>
          </w:tcPr>
          <w:p w14:paraId="09A364E7"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7,2%</w:t>
            </w:r>
          </w:p>
        </w:tc>
        <w:tc>
          <w:tcPr>
            <w:tcW w:w="1615" w:type="dxa"/>
            <w:vAlign w:val="bottom"/>
          </w:tcPr>
          <w:p w14:paraId="5C62B068"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8,3%</w:t>
            </w:r>
          </w:p>
        </w:tc>
      </w:tr>
      <w:tr w:rsidR="00EE22B1" w14:paraId="58923563" w14:textId="77777777" w:rsidTr="00EE22B1">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263" w:type="dxa"/>
            <w:vAlign w:val="bottom"/>
          </w:tcPr>
          <w:p w14:paraId="652DC81A"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Zaragoza</w:t>
            </w:r>
          </w:p>
        </w:tc>
        <w:tc>
          <w:tcPr>
            <w:tcW w:w="1701" w:type="dxa"/>
            <w:vAlign w:val="bottom"/>
          </w:tcPr>
          <w:p w14:paraId="28626C62"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5,3%</w:t>
            </w:r>
          </w:p>
        </w:tc>
        <w:tc>
          <w:tcPr>
            <w:tcW w:w="1701" w:type="dxa"/>
            <w:vAlign w:val="bottom"/>
          </w:tcPr>
          <w:p w14:paraId="62E4A465"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6,4%</w:t>
            </w:r>
          </w:p>
        </w:tc>
        <w:tc>
          <w:tcPr>
            <w:tcW w:w="1843" w:type="dxa"/>
            <w:vAlign w:val="bottom"/>
          </w:tcPr>
          <w:p w14:paraId="7883AAC1"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7,1%</w:t>
            </w:r>
          </w:p>
        </w:tc>
        <w:tc>
          <w:tcPr>
            <w:tcW w:w="1615" w:type="dxa"/>
            <w:vAlign w:val="bottom"/>
          </w:tcPr>
          <w:p w14:paraId="6E3A95D0"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7,5%</w:t>
            </w:r>
          </w:p>
        </w:tc>
      </w:tr>
      <w:tr w:rsidR="00EE22B1" w14:paraId="10047A83" w14:textId="77777777" w:rsidTr="00EE22B1">
        <w:trPr>
          <w:trHeight w:val="279"/>
        </w:trPr>
        <w:tc>
          <w:tcPr>
            <w:cnfStyle w:val="001000000000" w:firstRow="0" w:lastRow="0" w:firstColumn="1" w:lastColumn="0" w:oddVBand="0" w:evenVBand="0" w:oddHBand="0" w:evenHBand="0" w:firstRowFirstColumn="0" w:firstRowLastColumn="0" w:lastRowFirstColumn="0" w:lastRowLastColumn="0"/>
            <w:tcW w:w="2263" w:type="dxa"/>
            <w:vAlign w:val="bottom"/>
          </w:tcPr>
          <w:p w14:paraId="7C16F54C"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Asturias</w:t>
            </w:r>
          </w:p>
        </w:tc>
        <w:tc>
          <w:tcPr>
            <w:tcW w:w="1701" w:type="dxa"/>
            <w:vAlign w:val="bottom"/>
          </w:tcPr>
          <w:p w14:paraId="17CD58C0"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4,9%</w:t>
            </w:r>
          </w:p>
        </w:tc>
        <w:tc>
          <w:tcPr>
            <w:tcW w:w="1701" w:type="dxa"/>
            <w:vAlign w:val="bottom"/>
          </w:tcPr>
          <w:p w14:paraId="3BD28635"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6,2%</w:t>
            </w:r>
          </w:p>
        </w:tc>
        <w:tc>
          <w:tcPr>
            <w:tcW w:w="1843" w:type="dxa"/>
            <w:vAlign w:val="bottom"/>
          </w:tcPr>
          <w:p w14:paraId="16736B89"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6,6%</w:t>
            </w:r>
          </w:p>
        </w:tc>
        <w:tc>
          <w:tcPr>
            <w:tcW w:w="1615" w:type="dxa"/>
            <w:vAlign w:val="bottom"/>
          </w:tcPr>
          <w:p w14:paraId="64F116CC"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6,1%</w:t>
            </w:r>
          </w:p>
        </w:tc>
      </w:tr>
      <w:tr w:rsidR="00EE22B1" w14:paraId="427FB31C" w14:textId="77777777" w:rsidTr="00EE22B1">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263" w:type="dxa"/>
            <w:vAlign w:val="bottom"/>
          </w:tcPr>
          <w:p w14:paraId="16DCA45F"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Illes Balears</w:t>
            </w:r>
          </w:p>
        </w:tc>
        <w:tc>
          <w:tcPr>
            <w:tcW w:w="1701" w:type="dxa"/>
            <w:vAlign w:val="bottom"/>
          </w:tcPr>
          <w:p w14:paraId="299A8D81"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6,6%</w:t>
            </w:r>
          </w:p>
        </w:tc>
        <w:tc>
          <w:tcPr>
            <w:tcW w:w="1701" w:type="dxa"/>
            <w:vAlign w:val="bottom"/>
          </w:tcPr>
          <w:p w14:paraId="29336229"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4,8%</w:t>
            </w:r>
          </w:p>
        </w:tc>
        <w:tc>
          <w:tcPr>
            <w:tcW w:w="1843" w:type="dxa"/>
            <w:vAlign w:val="bottom"/>
          </w:tcPr>
          <w:p w14:paraId="33497FA2"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4,3%</w:t>
            </w:r>
          </w:p>
        </w:tc>
        <w:tc>
          <w:tcPr>
            <w:tcW w:w="1615" w:type="dxa"/>
            <w:vAlign w:val="bottom"/>
          </w:tcPr>
          <w:p w14:paraId="25B2414B"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4,2%</w:t>
            </w:r>
          </w:p>
        </w:tc>
      </w:tr>
      <w:tr w:rsidR="00EE22B1" w14:paraId="43FDBC63" w14:textId="77777777" w:rsidTr="00EE22B1">
        <w:trPr>
          <w:trHeight w:val="279"/>
        </w:trPr>
        <w:tc>
          <w:tcPr>
            <w:cnfStyle w:val="001000000000" w:firstRow="0" w:lastRow="0" w:firstColumn="1" w:lastColumn="0" w:oddVBand="0" w:evenVBand="0" w:oddHBand="0" w:evenHBand="0" w:firstRowFirstColumn="0" w:firstRowLastColumn="0" w:lastRowFirstColumn="0" w:lastRowLastColumn="0"/>
            <w:tcW w:w="2263" w:type="dxa"/>
            <w:vAlign w:val="bottom"/>
          </w:tcPr>
          <w:p w14:paraId="38072359"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Las Palmas</w:t>
            </w:r>
          </w:p>
        </w:tc>
        <w:tc>
          <w:tcPr>
            <w:tcW w:w="1701" w:type="dxa"/>
            <w:vAlign w:val="bottom"/>
          </w:tcPr>
          <w:p w14:paraId="04E3CF93"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6,1%</w:t>
            </w:r>
          </w:p>
        </w:tc>
        <w:tc>
          <w:tcPr>
            <w:tcW w:w="1701" w:type="dxa"/>
            <w:vAlign w:val="bottom"/>
          </w:tcPr>
          <w:p w14:paraId="329EDD65"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6,7%</w:t>
            </w:r>
          </w:p>
        </w:tc>
        <w:tc>
          <w:tcPr>
            <w:tcW w:w="1843" w:type="dxa"/>
            <w:vAlign w:val="bottom"/>
          </w:tcPr>
          <w:p w14:paraId="13A03EDD"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7,0%</w:t>
            </w:r>
          </w:p>
        </w:tc>
        <w:tc>
          <w:tcPr>
            <w:tcW w:w="1615" w:type="dxa"/>
            <w:vAlign w:val="bottom"/>
          </w:tcPr>
          <w:p w14:paraId="05986F98"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6,8%</w:t>
            </w:r>
          </w:p>
        </w:tc>
      </w:tr>
      <w:tr w:rsidR="00EE22B1" w14:paraId="3315FB5B" w14:textId="77777777" w:rsidTr="00EE22B1">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263" w:type="dxa"/>
            <w:vAlign w:val="bottom"/>
          </w:tcPr>
          <w:p w14:paraId="7830F535"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Santa Cruz de Tenerife</w:t>
            </w:r>
          </w:p>
        </w:tc>
        <w:tc>
          <w:tcPr>
            <w:tcW w:w="1701" w:type="dxa"/>
            <w:vAlign w:val="bottom"/>
          </w:tcPr>
          <w:p w14:paraId="093BEAE4"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5,5%</w:t>
            </w:r>
          </w:p>
        </w:tc>
        <w:tc>
          <w:tcPr>
            <w:tcW w:w="1701" w:type="dxa"/>
            <w:vAlign w:val="bottom"/>
          </w:tcPr>
          <w:p w14:paraId="5AAEF163"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6,3%</w:t>
            </w:r>
          </w:p>
        </w:tc>
        <w:tc>
          <w:tcPr>
            <w:tcW w:w="1843" w:type="dxa"/>
            <w:vAlign w:val="bottom"/>
          </w:tcPr>
          <w:p w14:paraId="046F4487"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5,0%</w:t>
            </w:r>
          </w:p>
        </w:tc>
        <w:tc>
          <w:tcPr>
            <w:tcW w:w="1615" w:type="dxa"/>
            <w:vAlign w:val="bottom"/>
          </w:tcPr>
          <w:p w14:paraId="3BA48F30"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5,2%</w:t>
            </w:r>
          </w:p>
        </w:tc>
      </w:tr>
      <w:tr w:rsidR="00EE22B1" w14:paraId="6B2E3152" w14:textId="77777777" w:rsidTr="00EE22B1">
        <w:trPr>
          <w:trHeight w:val="279"/>
        </w:trPr>
        <w:tc>
          <w:tcPr>
            <w:cnfStyle w:val="001000000000" w:firstRow="0" w:lastRow="0" w:firstColumn="1" w:lastColumn="0" w:oddVBand="0" w:evenVBand="0" w:oddHBand="0" w:evenHBand="0" w:firstRowFirstColumn="0" w:firstRowLastColumn="0" w:lastRowFirstColumn="0" w:lastRowLastColumn="0"/>
            <w:tcW w:w="2263" w:type="dxa"/>
            <w:vAlign w:val="bottom"/>
          </w:tcPr>
          <w:p w14:paraId="6D58A082"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Cantabria</w:t>
            </w:r>
          </w:p>
        </w:tc>
        <w:tc>
          <w:tcPr>
            <w:tcW w:w="1701" w:type="dxa"/>
            <w:vAlign w:val="bottom"/>
          </w:tcPr>
          <w:p w14:paraId="7C127BE1"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5,0%</w:t>
            </w:r>
          </w:p>
        </w:tc>
        <w:tc>
          <w:tcPr>
            <w:tcW w:w="1701" w:type="dxa"/>
            <w:vAlign w:val="bottom"/>
          </w:tcPr>
          <w:p w14:paraId="6C27733A"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6,6%</w:t>
            </w:r>
          </w:p>
        </w:tc>
        <w:tc>
          <w:tcPr>
            <w:tcW w:w="1843" w:type="dxa"/>
            <w:vAlign w:val="bottom"/>
          </w:tcPr>
          <w:p w14:paraId="407C6817"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7,3%</w:t>
            </w:r>
          </w:p>
        </w:tc>
        <w:tc>
          <w:tcPr>
            <w:tcW w:w="1615" w:type="dxa"/>
            <w:vAlign w:val="bottom"/>
          </w:tcPr>
          <w:p w14:paraId="7FB2031B"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6,1%</w:t>
            </w:r>
          </w:p>
        </w:tc>
      </w:tr>
      <w:tr w:rsidR="00EE22B1" w14:paraId="23B11685" w14:textId="77777777" w:rsidTr="00EE22B1">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263" w:type="dxa"/>
            <w:vAlign w:val="bottom"/>
          </w:tcPr>
          <w:p w14:paraId="66270335"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Ávila</w:t>
            </w:r>
          </w:p>
        </w:tc>
        <w:tc>
          <w:tcPr>
            <w:tcW w:w="1701" w:type="dxa"/>
            <w:vAlign w:val="bottom"/>
          </w:tcPr>
          <w:p w14:paraId="01B3022B"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5,0%</w:t>
            </w:r>
          </w:p>
        </w:tc>
        <w:tc>
          <w:tcPr>
            <w:tcW w:w="1701" w:type="dxa"/>
            <w:vAlign w:val="bottom"/>
          </w:tcPr>
          <w:p w14:paraId="4B66CD0A"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7,4%</w:t>
            </w:r>
          </w:p>
        </w:tc>
        <w:tc>
          <w:tcPr>
            <w:tcW w:w="1843" w:type="dxa"/>
            <w:vAlign w:val="bottom"/>
          </w:tcPr>
          <w:p w14:paraId="41D4D2ED"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9,4%</w:t>
            </w:r>
          </w:p>
        </w:tc>
        <w:tc>
          <w:tcPr>
            <w:tcW w:w="1615" w:type="dxa"/>
            <w:vAlign w:val="bottom"/>
          </w:tcPr>
          <w:p w14:paraId="1CAC93DC"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8,0%</w:t>
            </w:r>
          </w:p>
        </w:tc>
      </w:tr>
      <w:tr w:rsidR="00EE22B1" w14:paraId="3DCA66BE" w14:textId="77777777" w:rsidTr="00EE22B1">
        <w:trPr>
          <w:trHeight w:val="279"/>
        </w:trPr>
        <w:tc>
          <w:tcPr>
            <w:cnfStyle w:val="001000000000" w:firstRow="0" w:lastRow="0" w:firstColumn="1" w:lastColumn="0" w:oddVBand="0" w:evenVBand="0" w:oddHBand="0" w:evenHBand="0" w:firstRowFirstColumn="0" w:firstRowLastColumn="0" w:lastRowFirstColumn="0" w:lastRowLastColumn="0"/>
            <w:tcW w:w="2263" w:type="dxa"/>
            <w:vAlign w:val="bottom"/>
          </w:tcPr>
          <w:p w14:paraId="5BB9BD9D"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Burgos</w:t>
            </w:r>
          </w:p>
        </w:tc>
        <w:tc>
          <w:tcPr>
            <w:tcW w:w="1701" w:type="dxa"/>
            <w:vAlign w:val="bottom"/>
          </w:tcPr>
          <w:p w14:paraId="7FAC0CF1"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4,8%</w:t>
            </w:r>
          </w:p>
        </w:tc>
        <w:tc>
          <w:tcPr>
            <w:tcW w:w="1701" w:type="dxa"/>
            <w:vAlign w:val="bottom"/>
          </w:tcPr>
          <w:p w14:paraId="067982C0"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6,1%</w:t>
            </w:r>
          </w:p>
        </w:tc>
        <w:tc>
          <w:tcPr>
            <w:tcW w:w="1843" w:type="dxa"/>
            <w:vAlign w:val="bottom"/>
          </w:tcPr>
          <w:p w14:paraId="7E99A356"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7,0%</w:t>
            </w:r>
          </w:p>
        </w:tc>
        <w:tc>
          <w:tcPr>
            <w:tcW w:w="1615" w:type="dxa"/>
            <w:vAlign w:val="bottom"/>
          </w:tcPr>
          <w:p w14:paraId="671C2528"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7,1%</w:t>
            </w:r>
          </w:p>
        </w:tc>
      </w:tr>
      <w:tr w:rsidR="00EE22B1" w14:paraId="5A529F12" w14:textId="77777777" w:rsidTr="00EE22B1">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263" w:type="dxa"/>
            <w:vAlign w:val="bottom"/>
          </w:tcPr>
          <w:p w14:paraId="18D4607E"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León</w:t>
            </w:r>
          </w:p>
        </w:tc>
        <w:tc>
          <w:tcPr>
            <w:tcW w:w="1701" w:type="dxa"/>
            <w:vAlign w:val="bottom"/>
          </w:tcPr>
          <w:p w14:paraId="2686709B"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4,8%</w:t>
            </w:r>
          </w:p>
        </w:tc>
        <w:tc>
          <w:tcPr>
            <w:tcW w:w="1701" w:type="dxa"/>
            <w:vAlign w:val="bottom"/>
          </w:tcPr>
          <w:p w14:paraId="0E9AB1F2"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5,7%</w:t>
            </w:r>
          </w:p>
        </w:tc>
        <w:tc>
          <w:tcPr>
            <w:tcW w:w="1843" w:type="dxa"/>
            <w:vAlign w:val="bottom"/>
          </w:tcPr>
          <w:p w14:paraId="5FA936E7"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7,0%</w:t>
            </w:r>
          </w:p>
        </w:tc>
        <w:tc>
          <w:tcPr>
            <w:tcW w:w="1615" w:type="dxa"/>
            <w:vAlign w:val="bottom"/>
          </w:tcPr>
          <w:p w14:paraId="79AC1947"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6,4%</w:t>
            </w:r>
          </w:p>
        </w:tc>
      </w:tr>
      <w:tr w:rsidR="00EE22B1" w14:paraId="730BD69C" w14:textId="77777777" w:rsidTr="00EE22B1">
        <w:trPr>
          <w:trHeight w:val="279"/>
        </w:trPr>
        <w:tc>
          <w:tcPr>
            <w:cnfStyle w:val="001000000000" w:firstRow="0" w:lastRow="0" w:firstColumn="1" w:lastColumn="0" w:oddVBand="0" w:evenVBand="0" w:oddHBand="0" w:evenHBand="0" w:firstRowFirstColumn="0" w:firstRowLastColumn="0" w:lastRowFirstColumn="0" w:lastRowLastColumn="0"/>
            <w:tcW w:w="2263" w:type="dxa"/>
            <w:vAlign w:val="bottom"/>
          </w:tcPr>
          <w:p w14:paraId="2EAD4D22"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Palencia</w:t>
            </w:r>
          </w:p>
        </w:tc>
        <w:tc>
          <w:tcPr>
            <w:tcW w:w="1701" w:type="dxa"/>
            <w:vAlign w:val="bottom"/>
          </w:tcPr>
          <w:p w14:paraId="4974D1CA"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4,7%</w:t>
            </w:r>
          </w:p>
        </w:tc>
        <w:tc>
          <w:tcPr>
            <w:tcW w:w="1701" w:type="dxa"/>
            <w:vAlign w:val="bottom"/>
          </w:tcPr>
          <w:p w14:paraId="21A11451"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5,3%</w:t>
            </w:r>
          </w:p>
        </w:tc>
        <w:tc>
          <w:tcPr>
            <w:tcW w:w="1843" w:type="dxa"/>
            <w:vAlign w:val="bottom"/>
          </w:tcPr>
          <w:p w14:paraId="3B952A6A"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6,6%</w:t>
            </w:r>
          </w:p>
        </w:tc>
        <w:tc>
          <w:tcPr>
            <w:tcW w:w="1615" w:type="dxa"/>
            <w:vAlign w:val="bottom"/>
          </w:tcPr>
          <w:p w14:paraId="6488E6D1"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6,1%</w:t>
            </w:r>
          </w:p>
        </w:tc>
      </w:tr>
      <w:tr w:rsidR="00EE22B1" w14:paraId="42914AB9" w14:textId="77777777" w:rsidTr="00EE22B1">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263" w:type="dxa"/>
            <w:vAlign w:val="bottom"/>
          </w:tcPr>
          <w:p w14:paraId="28351416"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Salamanca</w:t>
            </w:r>
          </w:p>
        </w:tc>
        <w:tc>
          <w:tcPr>
            <w:tcW w:w="1701" w:type="dxa"/>
            <w:vAlign w:val="bottom"/>
          </w:tcPr>
          <w:p w14:paraId="17505BBF"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4,8%</w:t>
            </w:r>
          </w:p>
        </w:tc>
        <w:tc>
          <w:tcPr>
            <w:tcW w:w="1701" w:type="dxa"/>
            <w:vAlign w:val="bottom"/>
          </w:tcPr>
          <w:p w14:paraId="00DC7A5E"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5,7%</w:t>
            </w:r>
          </w:p>
        </w:tc>
        <w:tc>
          <w:tcPr>
            <w:tcW w:w="1843" w:type="dxa"/>
            <w:vAlign w:val="bottom"/>
          </w:tcPr>
          <w:p w14:paraId="254F22AB"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6,6%</w:t>
            </w:r>
          </w:p>
        </w:tc>
        <w:tc>
          <w:tcPr>
            <w:tcW w:w="1615" w:type="dxa"/>
            <w:vAlign w:val="bottom"/>
          </w:tcPr>
          <w:p w14:paraId="67F1CEA4"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6,3%</w:t>
            </w:r>
          </w:p>
        </w:tc>
      </w:tr>
      <w:tr w:rsidR="00EE22B1" w14:paraId="01FDBE15" w14:textId="77777777" w:rsidTr="00EE22B1">
        <w:trPr>
          <w:trHeight w:val="279"/>
        </w:trPr>
        <w:tc>
          <w:tcPr>
            <w:cnfStyle w:val="001000000000" w:firstRow="0" w:lastRow="0" w:firstColumn="1" w:lastColumn="0" w:oddVBand="0" w:evenVBand="0" w:oddHBand="0" w:evenHBand="0" w:firstRowFirstColumn="0" w:firstRowLastColumn="0" w:lastRowFirstColumn="0" w:lastRowLastColumn="0"/>
            <w:tcW w:w="2263" w:type="dxa"/>
            <w:vAlign w:val="bottom"/>
          </w:tcPr>
          <w:p w14:paraId="5AEC74F8"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Segovia</w:t>
            </w:r>
          </w:p>
        </w:tc>
        <w:tc>
          <w:tcPr>
            <w:tcW w:w="1701" w:type="dxa"/>
            <w:vAlign w:val="bottom"/>
          </w:tcPr>
          <w:p w14:paraId="3C503F29"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5,3%</w:t>
            </w:r>
          </w:p>
        </w:tc>
        <w:tc>
          <w:tcPr>
            <w:tcW w:w="1701" w:type="dxa"/>
            <w:vAlign w:val="bottom"/>
          </w:tcPr>
          <w:p w14:paraId="6D93E567"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7,0%</w:t>
            </w:r>
          </w:p>
        </w:tc>
        <w:tc>
          <w:tcPr>
            <w:tcW w:w="1843" w:type="dxa"/>
            <w:vAlign w:val="bottom"/>
          </w:tcPr>
          <w:p w14:paraId="5DD494A1"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8,6%</w:t>
            </w:r>
          </w:p>
        </w:tc>
        <w:tc>
          <w:tcPr>
            <w:tcW w:w="1615" w:type="dxa"/>
            <w:vAlign w:val="bottom"/>
          </w:tcPr>
          <w:p w14:paraId="3F56DA33"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8,3%</w:t>
            </w:r>
          </w:p>
        </w:tc>
      </w:tr>
      <w:tr w:rsidR="00EE22B1" w14:paraId="67A7E608" w14:textId="77777777" w:rsidTr="00EE22B1">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263" w:type="dxa"/>
            <w:vAlign w:val="bottom"/>
          </w:tcPr>
          <w:p w14:paraId="7E71E026"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Soria</w:t>
            </w:r>
          </w:p>
        </w:tc>
        <w:tc>
          <w:tcPr>
            <w:tcW w:w="1701" w:type="dxa"/>
            <w:vAlign w:val="bottom"/>
          </w:tcPr>
          <w:p w14:paraId="71B11EAB"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5,1%</w:t>
            </w:r>
          </w:p>
        </w:tc>
        <w:tc>
          <w:tcPr>
            <w:tcW w:w="1701" w:type="dxa"/>
            <w:vAlign w:val="bottom"/>
          </w:tcPr>
          <w:p w14:paraId="32F2899F"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0,0%</w:t>
            </w:r>
          </w:p>
        </w:tc>
        <w:tc>
          <w:tcPr>
            <w:tcW w:w="1843" w:type="dxa"/>
            <w:vAlign w:val="bottom"/>
          </w:tcPr>
          <w:p w14:paraId="1D966A36"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6,8%</w:t>
            </w:r>
          </w:p>
        </w:tc>
        <w:tc>
          <w:tcPr>
            <w:tcW w:w="1615" w:type="dxa"/>
            <w:vAlign w:val="bottom"/>
          </w:tcPr>
          <w:p w14:paraId="2E755E1A"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6,9%</w:t>
            </w:r>
          </w:p>
        </w:tc>
      </w:tr>
      <w:tr w:rsidR="00EE22B1" w14:paraId="2BCD11B4" w14:textId="77777777" w:rsidTr="00EE22B1">
        <w:trPr>
          <w:trHeight w:val="279"/>
        </w:trPr>
        <w:tc>
          <w:tcPr>
            <w:cnfStyle w:val="001000000000" w:firstRow="0" w:lastRow="0" w:firstColumn="1" w:lastColumn="0" w:oddVBand="0" w:evenVBand="0" w:oddHBand="0" w:evenHBand="0" w:firstRowFirstColumn="0" w:firstRowLastColumn="0" w:lastRowFirstColumn="0" w:lastRowLastColumn="0"/>
            <w:tcW w:w="2263" w:type="dxa"/>
            <w:vAlign w:val="bottom"/>
          </w:tcPr>
          <w:p w14:paraId="2F30B1E6"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Valladolid</w:t>
            </w:r>
          </w:p>
        </w:tc>
        <w:tc>
          <w:tcPr>
            <w:tcW w:w="1701" w:type="dxa"/>
            <w:vAlign w:val="bottom"/>
          </w:tcPr>
          <w:p w14:paraId="7A259B18"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4,7%</w:t>
            </w:r>
          </w:p>
        </w:tc>
        <w:tc>
          <w:tcPr>
            <w:tcW w:w="1701" w:type="dxa"/>
            <w:vAlign w:val="bottom"/>
          </w:tcPr>
          <w:p w14:paraId="0FBBE00F"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5,6%</w:t>
            </w:r>
          </w:p>
        </w:tc>
        <w:tc>
          <w:tcPr>
            <w:tcW w:w="1843" w:type="dxa"/>
            <w:vAlign w:val="bottom"/>
          </w:tcPr>
          <w:p w14:paraId="358F4823"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5,8%</w:t>
            </w:r>
          </w:p>
        </w:tc>
        <w:tc>
          <w:tcPr>
            <w:tcW w:w="1615" w:type="dxa"/>
            <w:vAlign w:val="bottom"/>
          </w:tcPr>
          <w:p w14:paraId="54CF3264"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5,9%</w:t>
            </w:r>
          </w:p>
        </w:tc>
      </w:tr>
      <w:tr w:rsidR="00EE22B1" w14:paraId="6195F0CA" w14:textId="77777777" w:rsidTr="00EE22B1">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263" w:type="dxa"/>
            <w:vAlign w:val="bottom"/>
          </w:tcPr>
          <w:p w14:paraId="752CE507"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Zamora</w:t>
            </w:r>
          </w:p>
        </w:tc>
        <w:tc>
          <w:tcPr>
            <w:tcW w:w="1701" w:type="dxa"/>
            <w:vAlign w:val="bottom"/>
          </w:tcPr>
          <w:p w14:paraId="565B380D"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4,3%</w:t>
            </w:r>
          </w:p>
        </w:tc>
        <w:tc>
          <w:tcPr>
            <w:tcW w:w="1701" w:type="dxa"/>
            <w:vAlign w:val="bottom"/>
          </w:tcPr>
          <w:p w14:paraId="048223F7"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5,7%</w:t>
            </w:r>
          </w:p>
        </w:tc>
        <w:tc>
          <w:tcPr>
            <w:tcW w:w="1843" w:type="dxa"/>
            <w:vAlign w:val="bottom"/>
          </w:tcPr>
          <w:p w14:paraId="0FAA7B06"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8,8%</w:t>
            </w:r>
          </w:p>
        </w:tc>
        <w:tc>
          <w:tcPr>
            <w:tcW w:w="1615" w:type="dxa"/>
            <w:vAlign w:val="bottom"/>
          </w:tcPr>
          <w:p w14:paraId="1A3E42D0"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9,0%</w:t>
            </w:r>
          </w:p>
        </w:tc>
      </w:tr>
      <w:tr w:rsidR="00EE22B1" w14:paraId="16B14B30" w14:textId="77777777" w:rsidTr="00EE22B1">
        <w:trPr>
          <w:trHeight w:val="279"/>
        </w:trPr>
        <w:tc>
          <w:tcPr>
            <w:cnfStyle w:val="001000000000" w:firstRow="0" w:lastRow="0" w:firstColumn="1" w:lastColumn="0" w:oddVBand="0" w:evenVBand="0" w:oddHBand="0" w:evenHBand="0" w:firstRowFirstColumn="0" w:firstRowLastColumn="0" w:lastRowFirstColumn="0" w:lastRowLastColumn="0"/>
            <w:tcW w:w="2263" w:type="dxa"/>
            <w:vAlign w:val="bottom"/>
          </w:tcPr>
          <w:p w14:paraId="50435D4F"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Albacete</w:t>
            </w:r>
          </w:p>
        </w:tc>
        <w:tc>
          <w:tcPr>
            <w:tcW w:w="1701" w:type="dxa"/>
            <w:vAlign w:val="bottom"/>
          </w:tcPr>
          <w:p w14:paraId="435F7711"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4,8%</w:t>
            </w:r>
          </w:p>
        </w:tc>
        <w:tc>
          <w:tcPr>
            <w:tcW w:w="1701" w:type="dxa"/>
            <w:vAlign w:val="bottom"/>
          </w:tcPr>
          <w:p w14:paraId="40679913"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5,9%</w:t>
            </w:r>
          </w:p>
        </w:tc>
        <w:tc>
          <w:tcPr>
            <w:tcW w:w="1843" w:type="dxa"/>
            <w:vAlign w:val="bottom"/>
          </w:tcPr>
          <w:p w14:paraId="616835D5"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6,8%</w:t>
            </w:r>
          </w:p>
        </w:tc>
        <w:tc>
          <w:tcPr>
            <w:tcW w:w="1615" w:type="dxa"/>
            <w:vAlign w:val="bottom"/>
          </w:tcPr>
          <w:p w14:paraId="75E6149A"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6,3%</w:t>
            </w:r>
          </w:p>
        </w:tc>
      </w:tr>
      <w:tr w:rsidR="00EE22B1" w14:paraId="72482F0C" w14:textId="77777777" w:rsidTr="00EE22B1">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263" w:type="dxa"/>
            <w:vAlign w:val="bottom"/>
          </w:tcPr>
          <w:p w14:paraId="2A9E3200"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Ciudad Real</w:t>
            </w:r>
          </w:p>
        </w:tc>
        <w:tc>
          <w:tcPr>
            <w:tcW w:w="1701" w:type="dxa"/>
            <w:vAlign w:val="bottom"/>
          </w:tcPr>
          <w:p w14:paraId="11F1015F"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5,8%</w:t>
            </w:r>
          </w:p>
        </w:tc>
        <w:tc>
          <w:tcPr>
            <w:tcW w:w="1701" w:type="dxa"/>
            <w:vAlign w:val="bottom"/>
          </w:tcPr>
          <w:p w14:paraId="65CE450B"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6,6%</w:t>
            </w:r>
          </w:p>
        </w:tc>
        <w:tc>
          <w:tcPr>
            <w:tcW w:w="1843" w:type="dxa"/>
            <w:vAlign w:val="bottom"/>
          </w:tcPr>
          <w:p w14:paraId="353BA54B"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8,5%</w:t>
            </w:r>
          </w:p>
        </w:tc>
        <w:tc>
          <w:tcPr>
            <w:tcW w:w="1615" w:type="dxa"/>
            <w:vAlign w:val="bottom"/>
          </w:tcPr>
          <w:p w14:paraId="4C40F01C"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8,8%</w:t>
            </w:r>
          </w:p>
        </w:tc>
      </w:tr>
      <w:tr w:rsidR="00EE22B1" w14:paraId="70CD512F" w14:textId="77777777" w:rsidTr="00EE22B1">
        <w:trPr>
          <w:trHeight w:val="279"/>
        </w:trPr>
        <w:tc>
          <w:tcPr>
            <w:cnfStyle w:val="001000000000" w:firstRow="0" w:lastRow="0" w:firstColumn="1" w:lastColumn="0" w:oddVBand="0" w:evenVBand="0" w:oddHBand="0" w:evenHBand="0" w:firstRowFirstColumn="0" w:firstRowLastColumn="0" w:lastRowFirstColumn="0" w:lastRowLastColumn="0"/>
            <w:tcW w:w="2263" w:type="dxa"/>
            <w:vAlign w:val="bottom"/>
          </w:tcPr>
          <w:p w14:paraId="5641C722"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Cuenca</w:t>
            </w:r>
          </w:p>
        </w:tc>
        <w:tc>
          <w:tcPr>
            <w:tcW w:w="1701" w:type="dxa"/>
            <w:vAlign w:val="bottom"/>
          </w:tcPr>
          <w:p w14:paraId="34815338"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5,2%</w:t>
            </w:r>
          </w:p>
        </w:tc>
        <w:tc>
          <w:tcPr>
            <w:tcW w:w="1701" w:type="dxa"/>
            <w:vAlign w:val="bottom"/>
          </w:tcPr>
          <w:p w14:paraId="60626C73"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7,0%</w:t>
            </w:r>
          </w:p>
        </w:tc>
        <w:tc>
          <w:tcPr>
            <w:tcW w:w="1843" w:type="dxa"/>
            <w:vAlign w:val="bottom"/>
          </w:tcPr>
          <w:p w14:paraId="3AE76134"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6,8%</w:t>
            </w:r>
          </w:p>
        </w:tc>
        <w:tc>
          <w:tcPr>
            <w:tcW w:w="1615" w:type="dxa"/>
            <w:vAlign w:val="bottom"/>
          </w:tcPr>
          <w:p w14:paraId="5988D12B"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8,3%</w:t>
            </w:r>
          </w:p>
        </w:tc>
      </w:tr>
      <w:tr w:rsidR="00EE22B1" w14:paraId="5057F285" w14:textId="77777777" w:rsidTr="00EE22B1">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263" w:type="dxa"/>
            <w:vAlign w:val="bottom"/>
          </w:tcPr>
          <w:p w14:paraId="0FB06DDD"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Guadalajara</w:t>
            </w:r>
          </w:p>
        </w:tc>
        <w:tc>
          <w:tcPr>
            <w:tcW w:w="1701" w:type="dxa"/>
            <w:vAlign w:val="bottom"/>
          </w:tcPr>
          <w:p w14:paraId="7E737F70"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5,9%</w:t>
            </w:r>
          </w:p>
        </w:tc>
        <w:tc>
          <w:tcPr>
            <w:tcW w:w="1701" w:type="dxa"/>
            <w:vAlign w:val="bottom"/>
          </w:tcPr>
          <w:p w14:paraId="2FECE8D2"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7,2%</w:t>
            </w:r>
          </w:p>
        </w:tc>
        <w:tc>
          <w:tcPr>
            <w:tcW w:w="1843" w:type="dxa"/>
            <w:vAlign w:val="bottom"/>
          </w:tcPr>
          <w:p w14:paraId="2EAC80F4"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6,5%</w:t>
            </w:r>
          </w:p>
        </w:tc>
        <w:tc>
          <w:tcPr>
            <w:tcW w:w="1615" w:type="dxa"/>
            <w:vAlign w:val="bottom"/>
          </w:tcPr>
          <w:p w14:paraId="2ADBE11D"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7,2%</w:t>
            </w:r>
          </w:p>
        </w:tc>
      </w:tr>
      <w:tr w:rsidR="00EE22B1" w14:paraId="0531CEFB" w14:textId="77777777" w:rsidTr="00EE22B1">
        <w:trPr>
          <w:trHeight w:val="279"/>
        </w:trPr>
        <w:tc>
          <w:tcPr>
            <w:cnfStyle w:val="001000000000" w:firstRow="0" w:lastRow="0" w:firstColumn="1" w:lastColumn="0" w:oddVBand="0" w:evenVBand="0" w:oddHBand="0" w:evenHBand="0" w:firstRowFirstColumn="0" w:firstRowLastColumn="0" w:lastRowFirstColumn="0" w:lastRowLastColumn="0"/>
            <w:tcW w:w="2263" w:type="dxa"/>
            <w:vAlign w:val="bottom"/>
          </w:tcPr>
          <w:p w14:paraId="58FFC21D"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Toledo</w:t>
            </w:r>
          </w:p>
        </w:tc>
        <w:tc>
          <w:tcPr>
            <w:tcW w:w="1701" w:type="dxa"/>
            <w:vAlign w:val="bottom"/>
          </w:tcPr>
          <w:p w14:paraId="66C6BEA8"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5,8%</w:t>
            </w:r>
          </w:p>
        </w:tc>
        <w:tc>
          <w:tcPr>
            <w:tcW w:w="1701" w:type="dxa"/>
            <w:vAlign w:val="bottom"/>
          </w:tcPr>
          <w:p w14:paraId="718D10FD"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8,1%</w:t>
            </w:r>
          </w:p>
        </w:tc>
        <w:tc>
          <w:tcPr>
            <w:tcW w:w="1843" w:type="dxa"/>
            <w:vAlign w:val="bottom"/>
          </w:tcPr>
          <w:p w14:paraId="4BD1B192"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9,3%</w:t>
            </w:r>
          </w:p>
        </w:tc>
        <w:tc>
          <w:tcPr>
            <w:tcW w:w="1615" w:type="dxa"/>
            <w:vAlign w:val="bottom"/>
          </w:tcPr>
          <w:p w14:paraId="46960B06"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9,3%</w:t>
            </w:r>
          </w:p>
        </w:tc>
      </w:tr>
      <w:tr w:rsidR="00EE22B1" w14:paraId="3E3218EE" w14:textId="77777777" w:rsidTr="00EE22B1">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263" w:type="dxa"/>
            <w:vAlign w:val="bottom"/>
          </w:tcPr>
          <w:p w14:paraId="62DE38F1"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Barcelona</w:t>
            </w:r>
          </w:p>
        </w:tc>
        <w:tc>
          <w:tcPr>
            <w:tcW w:w="1701" w:type="dxa"/>
            <w:vAlign w:val="bottom"/>
          </w:tcPr>
          <w:p w14:paraId="023B5384"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6,2%</w:t>
            </w:r>
          </w:p>
        </w:tc>
        <w:tc>
          <w:tcPr>
            <w:tcW w:w="1701" w:type="dxa"/>
            <w:vAlign w:val="bottom"/>
          </w:tcPr>
          <w:p w14:paraId="38FF99E3"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5,9%</w:t>
            </w:r>
          </w:p>
        </w:tc>
        <w:tc>
          <w:tcPr>
            <w:tcW w:w="1843" w:type="dxa"/>
            <w:vAlign w:val="bottom"/>
          </w:tcPr>
          <w:p w14:paraId="40BF7661"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7,6%</w:t>
            </w:r>
          </w:p>
        </w:tc>
        <w:tc>
          <w:tcPr>
            <w:tcW w:w="1615" w:type="dxa"/>
            <w:vAlign w:val="bottom"/>
          </w:tcPr>
          <w:p w14:paraId="0C2D3AB6"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6,3%</w:t>
            </w:r>
          </w:p>
        </w:tc>
      </w:tr>
      <w:tr w:rsidR="00EE22B1" w14:paraId="22874596" w14:textId="77777777" w:rsidTr="00EE22B1">
        <w:trPr>
          <w:trHeight w:val="279"/>
        </w:trPr>
        <w:tc>
          <w:tcPr>
            <w:cnfStyle w:val="001000000000" w:firstRow="0" w:lastRow="0" w:firstColumn="1" w:lastColumn="0" w:oddVBand="0" w:evenVBand="0" w:oddHBand="0" w:evenHBand="0" w:firstRowFirstColumn="0" w:firstRowLastColumn="0" w:lastRowFirstColumn="0" w:lastRowLastColumn="0"/>
            <w:tcW w:w="2263" w:type="dxa"/>
            <w:vAlign w:val="bottom"/>
          </w:tcPr>
          <w:p w14:paraId="22F340DF"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Girona</w:t>
            </w:r>
          </w:p>
        </w:tc>
        <w:tc>
          <w:tcPr>
            <w:tcW w:w="1701" w:type="dxa"/>
            <w:vAlign w:val="bottom"/>
          </w:tcPr>
          <w:p w14:paraId="690C7FC1"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5,2%</w:t>
            </w:r>
          </w:p>
        </w:tc>
        <w:tc>
          <w:tcPr>
            <w:tcW w:w="1701" w:type="dxa"/>
            <w:vAlign w:val="bottom"/>
          </w:tcPr>
          <w:p w14:paraId="1F8DF9AA"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5,4%</w:t>
            </w:r>
          </w:p>
        </w:tc>
        <w:tc>
          <w:tcPr>
            <w:tcW w:w="1843" w:type="dxa"/>
            <w:vAlign w:val="bottom"/>
          </w:tcPr>
          <w:p w14:paraId="24AFAD7A"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6,0%</w:t>
            </w:r>
          </w:p>
        </w:tc>
        <w:tc>
          <w:tcPr>
            <w:tcW w:w="1615" w:type="dxa"/>
            <w:vAlign w:val="bottom"/>
          </w:tcPr>
          <w:p w14:paraId="029ED613"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5,7%</w:t>
            </w:r>
          </w:p>
        </w:tc>
      </w:tr>
      <w:tr w:rsidR="00EE22B1" w14:paraId="158F581E" w14:textId="77777777" w:rsidTr="00EE22B1">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263" w:type="dxa"/>
            <w:vAlign w:val="bottom"/>
          </w:tcPr>
          <w:p w14:paraId="3A854531"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Lleida</w:t>
            </w:r>
          </w:p>
        </w:tc>
        <w:tc>
          <w:tcPr>
            <w:tcW w:w="1701" w:type="dxa"/>
            <w:vAlign w:val="bottom"/>
          </w:tcPr>
          <w:p w14:paraId="25BC2E09"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5,9%</w:t>
            </w:r>
          </w:p>
        </w:tc>
        <w:tc>
          <w:tcPr>
            <w:tcW w:w="1701" w:type="dxa"/>
            <w:vAlign w:val="bottom"/>
          </w:tcPr>
          <w:p w14:paraId="3F3EE2D1"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6,7%</w:t>
            </w:r>
          </w:p>
        </w:tc>
        <w:tc>
          <w:tcPr>
            <w:tcW w:w="1843" w:type="dxa"/>
            <w:vAlign w:val="bottom"/>
          </w:tcPr>
          <w:p w14:paraId="6A9033B4"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7,1%</w:t>
            </w:r>
          </w:p>
        </w:tc>
        <w:tc>
          <w:tcPr>
            <w:tcW w:w="1615" w:type="dxa"/>
            <w:vAlign w:val="bottom"/>
          </w:tcPr>
          <w:p w14:paraId="391C810B"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7,3%</w:t>
            </w:r>
          </w:p>
        </w:tc>
      </w:tr>
      <w:tr w:rsidR="00EE22B1" w14:paraId="3B53AF6A" w14:textId="77777777" w:rsidTr="00EE22B1">
        <w:trPr>
          <w:trHeight w:val="279"/>
        </w:trPr>
        <w:tc>
          <w:tcPr>
            <w:cnfStyle w:val="001000000000" w:firstRow="0" w:lastRow="0" w:firstColumn="1" w:lastColumn="0" w:oddVBand="0" w:evenVBand="0" w:oddHBand="0" w:evenHBand="0" w:firstRowFirstColumn="0" w:firstRowLastColumn="0" w:lastRowFirstColumn="0" w:lastRowLastColumn="0"/>
            <w:tcW w:w="2263" w:type="dxa"/>
            <w:vAlign w:val="bottom"/>
          </w:tcPr>
          <w:p w14:paraId="37343790"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Tarragona</w:t>
            </w:r>
          </w:p>
        </w:tc>
        <w:tc>
          <w:tcPr>
            <w:tcW w:w="1701" w:type="dxa"/>
            <w:vAlign w:val="bottom"/>
          </w:tcPr>
          <w:p w14:paraId="69445FC9"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5,8%</w:t>
            </w:r>
          </w:p>
        </w:tc>
        <w:tc>
          <w:tcPr>
            <w:tcW w:w="1701" w:type="dxa"/>
            <w:vAlign w:val="bottom"/>
          </w:tcPr>
          <w:p w14:paraId="7F1B7F01"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6,4%</w:t>
            </w:r>
          </w:p>
        </w:tc>
        <w:tc>
          <w:tcPr>
            <w:tcW w:w="1843" w:type="dxa"/>
            <w:vAlign w:val="bottom"/>
          </w:tcPr>
          <w:p w14:paraId="5CE43329"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6,1%</w:t>
            </w:r>
          </w:p>
        </w:tc>
        <w:tc>
          <w:tcPr>
            <w:tcW w:w="1615" w:type="dxa"/>
            <w:vAlign w:val="bottom"/>
          </w:tcPr>
          <w:p w14:paraId="398B9804"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6,8%</w:t>
            </w:r>
          </w:p>
        </w:tc>
      </w:tr>
      <w:tr w:rsidR="00EE22B1" w14:paraId="2597FB11" w14:textId="77777777" w:rsidTr="00EE22B1">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263" w:type="dxa"/>
            <w:vAlign w:val="bottom"/>
          </w:tcPr>
          <w:p w14:paraId="147D46CF"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Alicante</w:t>
            </w:r>
          </w:p>
        </w:tc>
        <w:tc>
          <w:tcPr>
            <w:tcW w:w="1701" w:type="dxa"/>
            <w:vAlign w:val="bottom"/>
          </w:tcPr>
          <w:p w14:paraId="251229C0"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5,4%</w:t>
            </w:r>
          </w:p>
        </w:tc>
        <w:tc>
          <w:tcPr>
            <w:tcW w:w="1701" w:type="dxa"/>
            <w:vAlign w:val="bottom"/>
          </w:tcPr>
          <w:p w14:paraId="44D86738"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6,0%</w:t>
            </w:r>
          </w:p>
        </w:tc>
        <w:tc>
          <w:tcPr>
            <w:tcW w:w="1843" w:type="dxa"/>
            <w:vAlign w:val="bottom"/>
          </w:tcPr>
          <w:p w14:paraId="3CFC9939"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5,4%</w:t>
            </w:r>
          </w:p>
        </w:tc>
        <w:tc>
          <w:tcPr>
            <w:tcW w:w="1615" w:type="dxa"/>
            <w:vAlign w:val="bottom"/>
          </w:tcPr>
          <w:p w14:paraId="418EFD4B"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Pr>
                <w:rFonts w:ascii="Open Sans" w:eastAsia="Open Sans" w:hAnsi="Open Sans" w:cs="Open Sans"/>
                <w:b/>
                <w:bCs/>
                <w:color w:val="000000"/>
                <w:sz w:val="22"/>
                <w:szCs w:val="22"/>
              </w:rPr>
              <w:t>5,1%</w:t>
            </w:r>
          </w:p>
        </w:tc>
      </w:tr>
      <w:tr w:rsidR="00EE22B1" w14:paraId="34BCA00C" w14:textId="77777777" w:rsidTr="00EE22B1">
        <w:trPr>
          <w:trHeight w:val="279"/>
        </w:trPr>
        <w:tc>
          <w:tcPr>
            <w:cnfStyle w:val="001000000000" w:firstRow="0" w:lastRow="0" w:firstColumn="1" w:lastColumn="0" w:oddVBand="0" w:evenVBand="0" w:oddHBand="0" w:evenHBand="0" w:firstRowFirstColumn="0" w:firstRowLastColumn="0" w:lastRowFirstColumn="0" w:lastRowLastColumn="0"/>
            <w:tcW w:w="2263" w:type="dxa"/>
            <w:vAlign w:val="bottom"/>
          </w:tcPr>
          <w:p w14:paraId="52878654"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Castellón</w:t>
            </w:r>
          </w:p>
        </w:tc>
        <w:tc>
          <w:tcPr>
            <w:tcW w:w="1701" w:type="dxa"/>
            <w:vAlign w:val="bottom"/>
          </w:tcPr>
          <w:p w14:paraId="34392579"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5,5%</w:t>
            </w:r>
          </w:p>
        </w:tc>
        <w:tc>
          <w:tcPr>
            <w:tcW w:w="1701" w:type="dxa"/>
            <w:vAlign w:val="bottom"/>
          </w:tcPr>
          <w:p w14:paraId="0F5F6E73"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7,4%</w:t>
            </w:r>
          </w:p>
        </w:tc>
        <w:tc>
          <w:tcPr>
            <w:tcW w:w="1843" w:type="dxa"/>
            <w:vAlign w:val="bottom"/>
          </w:tcPr>
          <w:p w14:paraId="5B1CDCEF"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7,3%</w:t>
            </w:r>
          </w:p>
        </w:tc>
        <w:tc>
          <w:tcPr>
            <w:tcW w:w="1615" w:type="dxa"/>
            <w:vAlign w:val="bottom"/>
          </w:tcPr>
          <w:p w14:paraId="7D54AEA3"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Pr>
                <w:rFonts w:ascii="Open Sans" w:eastAsia="Open Sans" w:hAnsi="Open Sans" w:cs="Open Sans"/>
                <w:b/>
                <w:bCs/>
                <w:color w:val="000000"/>
                <w:sz w:val="22"/>
                <w:szCs w:val="22"/>
              </w:rPr>
              <w:t>6,9%</w:t>
            </w:r>
          </w:p>
        </w:tc>
      </w:tr>
      <w:tr w:rsidR="00EE22B1" w14:paraId="2FC3AC8F" w14:textId="77777777" w:rsidTr="00EE22B1">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2263" w:type="dxa"/>
            <w:vAlign w:val="bottom"/>
          </w:tcPr>
          <w:p w14:paraId="4354B783"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Valencia</w:t>
            </w:r>
          </w:p>
        </w:tc>
        <w:tc>
          <w:tcPr>
            <w:tcW w:w="1701" w:type="dxa"/>
            <w:vAlign w:val="bottom"/>
          </w:tcPr>
          <w:p w14:paraId="2410FD8D"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5,4%</w:t>
            </w:r>
          </w:p>
        </w:tc>
        <w:tc>
          <w:tcPr>
            <w:tcW w:w="1701" w:type="dxa"/>
            <w:vAlign w:val="bottom"/>
          </w:tcPr>
          <w:p w14:paraId="3ADBBF59"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7,6%</w:t>
            </w:r>
          </w:p>
        </w:tc>
        <w:tc>
          <w:tcPr>
            <w:tcW w:w="1843" w:type="dxa"/>
            <w:vAlign w:val="bottom"/>
          </w:tcPr>
          <w:p w14:paraId="1B488ADB"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8,6%</w:t>
            </w:r>
          </w:p>
        </w:tc>
        <w:tc>
          <w:tcPr>
            <w:tcW w:w="1615" w:type="dxa"/>
            <w:vAlign w:val="bottom"/>
          </w:tcPr>
          <w:p w14:paraId="4903BF03"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Pr>
                <w:rFonts w:ascii="Open Sans" w:eastAsia="Open Sans" w:hAnsi="Open Sans" w:cs="Open Sans"/>
                <w:b/>
                <w:bCs/>
                <w:color w:val="000000"/>
                <w:sz w:val="22"/>
                <w:szCs w:val="22"/>
              </w:rPr>
              <w:t>8,3%</w:t>
            </w:r>
          </w:p>
        </w:tc>
      </w:tr>
      <w:tr w:rsidR="00EE22B1" w14:paraId="28F618F6" w14:textId="77777777" w:rsidTr="00EE22B1">
        <w:trPr>
          <w:trHeight w:val="279"/>
        </w:trPr>
        <w:tc>
          <w:tcPr>
            <w:cnfStyle w:val="001000000000" w:firstRow="0" w:lastRow="0" w:firstColumn="1" w:lastColumn="0" w:oddVBand="0" w:evenVBand="0" w:oddHBand="0" w:evenHBand="0" w:firstRowFirstColumn="0" w:firstRowLastColumn="0" w:lastRowFirstColumn="0" w:lastRowLastColumn="0"/>
            <w:tcW w:w="2263" w:type="dxa"/>
            <w:vAlign w:val="bottom"/>
          </w:tcPr>
          <w:p w14:paraId="00BFB4F5"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Badajoz</w:t>
            </w:r>
          </w:p>
        </w:tc>
        <w:tc>
          <w:tcPr>
            <w:tcW w:w="1701" w:type="dxa"/>
            <w:vAlign w:val="bottom"/>
          </w:tcPr>
          <w:p w14:paraId="558DC7A9"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5,0%</w:t>
            </w:r>
          </w:p>
        </w:tc>
        <w:tc>
          <w:tcPr>
            <w:tcW w:w="1701" w:type="dxa"/>
            <w:vAlign w:val="bottom"/>
          </w:tcPr>
          <w:p w14:paraId="3B318220"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5,8%</w:t>
            </w:r>
          </w:p>
        </w:tc>
        <w:tc>
          <w:tcPr>
            <w:tcW w:w="1843" w:type="dxa"/>
            <w:vAlign w:val="bottom"/>
          </w:tcPr>
          <w:p w14:paraId="7559E1DC"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6,8%</w:t>
            </w:r>
          </w:p>
        </w:tc>
        <w:tc>
          <w:tcPr>
            <w:tcW w:w="1615" w:type="dxa"/>
            <w:vAlign w:val="bottom"/>
          </w:tcPr>
          <w:p w14:paraId="143AA5C4"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Pr>
                <w:rFonts w:ascii="Open Sans" w:eastAsia="Open Sans" w:hAnsi="Open Sans" w:cs="Open Sans"/>
                <w:b/>
                <w:bCs/>
                <w:color w:val="000000"/>
                <w:sz w:val="22"/>
                <w:szCs w:val="22"/>
              </w:rPr>
              <w:t>6,9%</w:t>
            </w:r>
          </w:p>
        </w:tc>
      </w:tr>
      <w:tr w:rsidR="00EE22B1" w14:paraId="2B41F01B" w14:textId="77777777" w:rsidTr="00EE22B1">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263" w:type="dxa"/>
            <w:vAlign w:val="bottom"/>
          </w:tcPr>
          <w:p w14:paraId="04285729"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Cáceres</w:t>
            </w:r>
          </w:p>
        </w:tc>
        <w:tc>
          <w:tcPr>
            <w:tcW w:w="1701" w:type="dxa"/>
            <w:vAlign w:val="bottom"/>
          </w:tcPr>
          <w:p w14:paraId="1AA45F71"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5,3%</w:t>
            </w:r>
          </w:p>
        </w:tc>
        <w:tc>
          <w:tcPr>
            <w:tcW w:w="1701" w:type="dxa"/>
            <w:vAlign w:val="bottom"/>
          </w:tcPr>
          <w:p w14:paraId="2EEE3796"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5,7%</w:t>
            </w:r>
          </w:p>
        </w:tc>
        <w:tc>
          <w:tcPr>
            <w:tcW w:w="1843" w:type="dxa"/>
            <w:vAlign w:val="bottom"/>
          </w:tcPr>
          <w:p w14:paraId="03D73E8D"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6,9%</w:t>
            </w:r>
          </w:p>
        </w:tc>
        <w:tc>
          <w:tcPr>
            <w:tcW w:w="1615" w:type="dxa"/>
            <w:vAlign w:val="bottom"/>
          </w:tcPr>
          <w:p w14:paraId="73875E84"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Pr>
                <w:rFonts w:ascii="Open Sans" w:eastAsia="Open Sans" w:hAnsi="Open Sans" w:cs="Open Sans"/>
                <w:b/>
                <w:bCs/>
                <w:color w:val="000000"/>
                <w:sz w:val="22"/>
                <w:szCs w:val="22"/>
              </w:rPr>
              <w:t>6,8%</w:t>
            </w:r>
          </w:p>
        </w:tc>
      </w:tr>
      <w:tr w:rsidR="00EE22B1" w14:paraId="5A0D9113" w14:textId="77777777" w:rsidTr="00EE22B1">
        <w:trPr>
          <w:trHeight w:val="279"/>
        </w:trPr>
        <w:tc>
          <w:tcPr>
            <w:cnfStyle w:val="001000000000" w:firstRow="0" w:lastRow="0" w:firstColumn="1" w:lastColumn="0" w:oddVBand="0" w:evenVBand="0" w:oddHBand="0" w:evenHBand="0" w:firstRowFirstColumn="0" w:firstRowLastColumn="0" w:lastRowFirstColumn="0" w:lastRowLastColumn="0"/>
            <w:tcW w:w="2263" w:type="dxa"/>
            <w:vAlign w:val="bottom"/>
          </w:tcPr>
          <w:p w14:paraId="1BA502EB"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A Coruña</w:t>
            </w:r>
          </w:p>
        </w:tc>
        <w:tc>
          <w:tcPr>
            <w:tcW w:w="1701" w:type="dxa"/>
            <w:vAlign w:val="bottom"/>
          </w:tcPr>
          <w:p w14:paraId="246DB34F"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4,1%</w:t>
            </w:r>
          </w:p>
        </w:tc>
        <w:tc>
          <w:tcPr>
            <w:tcW w:w="1701" w:type="dxa"/>
            <w:vAlign w:val="bottom"/>
          </w:tcPr>
          <w:p w14:paraId="1F84B18C"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5,6%</w:t>
            </w:r>
          </w:p>
        </w:tc>
        <w:tc>
          <w:tcPr>
            <w:tcW w:w="1843" w:type="dxa"/>
            <w:vAlign w:val="bottom"/>
          </w:tcPr>
          <w:p w14:paraId="409C0527"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6,7%</w:t>
            </w:r>
          </w:p>
        </w:tc>
        <w:tc>
          <w:tcPr>
            <w:tcW w:w="1615" w:type="dxa"/>
            <w:vAlign w:val="bottom"/>
          </w:tcPr>
          <w:p w14:paraId="3C7E72F9"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Pr>
                <w:rFonts w:ascii="Open Sans" w:eastAsia="Open Sans" w:hAnsi="Open Sans" w:cs="Open Sans"/>
                <w:b/>
                <w:bCs/>
                <w:color w:val="000000"/>
                <w:sz w:val="22"/>
                <w:szCs w:val="22"/>
              </w:rPr>
              <w:t>5,7%</w:t>
            </w:r>
          </w:p>
        </w:tc>
      </w:tr>
      <w:tr w:rsidR="00EE22B1" w14:paraId="6EA3FD06" w14:textId="77777777" w:rsidTr="00EE22B1">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263" w:type="dxa"/>
            <w:vAlign w:val="bottom"/>
          </w:tcPr>
          <w:p w14:paraId="55835ED7"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Lugo</w:t>
            </w:r>
          </w:p>
        </w:tc>
        <w:tc>
          <w:tcPr>
            <w:tcW w:w="1701" w:type="dxa"/>
            <w:vAlign w:val="bottom"/>
          </w:tcPr>
          <w:p w14:paraId="2BDA4F40"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5,2%</w:t>
            </w:r>
          </w:p>
        </w:tc>
        <w:tc>
          <w:tcPr>
            <w:tcW w:w="1701" w:type="dxa"/>
            <w:vAlign w:val="bottom"/>
          </w:tcPr>
          <w:p w14:paraId="711F085D"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6,0%</w:t>
            </w:r>
          </w:p>
        </w:tc>
        <w:tc>
          <w:tcPr>
            <w:tcW w:w="1843" w:type="dxa"/>
            <w:vAlign w:val="bottom"/>
          </w:tcPr>
          <w:p w14:paraId="4E90C7E1"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7,2%</w:t>
            </w:r>
          </w:p>
        </w:tc>
        <w:tc>
          <w:tcPr>
            <w:tcW w:w="1615" w:type="dxa"/>
            <w:vAlign w:val="bottom"/>
          </w:tcPr>
          <w:p w14:paraId="2350D264"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Pr>
                <w:rFonts w:ascii="Open Sans" w:eastAsia="Open Sans" w:hAnsi="Open Sans" w:cs="Open Sans"/>
                <w:b/>
                <w:bCs/>
                <w:color w:val="000000"/>
                <w:sz w:val="22"/>
                <w:szCs w:val="22"/>
              </w:rPr>
              <w:t>7,1%</w:t>
            </w:r>
          </w:p>
        </w:tc>
      </w:tr>
      <w:tr w:rsidR="00EE22B1" w14:paraId="57F0EB5F" w14:textId="77777777" w:rsidTr="00EE22B1">
        <w:trPr>
          <w:trHeight w:val="279"/>
        </w:trPr>
        <w:tc>
          <w:tcPr>
            <w:cnfStyle w:val="001000000000" w:firstRow="0" w:lastRow="0" w:firstColumn="1" w:lastColumn="0" w:oddVBand="0" w:evenVBand="0" w:oddHBand="0" w:evenHBand="0" w:firstRowFirstColumn="0" w:firstRowLastColumn="0" w:lastRowFirstColumn="0" w:lastRowLastColumn="0"/>
            <w:tcW w:w="2263" w:type="dxa"/>
            <w:vAlign w:val="bottom"/>
          </w:tcPr>
          <w:p w14:paraId="242EBFF3"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Ourense</w:t>
            </w:r>
          </w:p>
        </w:tc>
        <w:tc>
          <w:tcPr>
            <w:tcW w:w="1701" w:type="dxa"/>
            <w:vAlign w:val="bottom"/>
          </w:tcPr>
          <w:p w14:paraId="30868EFE"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3,8%</w:t>
            </w:r>
          </w:p>
        </w:tc>
        <w:tc>
          <w:tcPr>
            <w:tcW w:w="1701" w:type="dxa"/>
            <w:vAlign w:val="bottom"/>
          </w:tcPr>
          <w:p w14:paraId="35286537"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4,8%</w:t>
            </w:r>
          </w:p>
        </w:tc>
        <w:tc>
          <w:tcPr>
            <w:tcW w:w="1843" w:type="dxa"/>
            <w:vAlign w:val="bottom"/>
          </w:tcPr>
          <w:p w14:paraId="69BFB8A2"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5,8%</w:t>
            </w:r>
          </w:p>
        </w:tc>
        <w:tc>
          <w:tcPr>
            <w:tcW w:w="1615" w:type="dxa"/>
            <w:vAlign w:val="bottom"/>
          </w:tcPr>
          <w:p w14:paraId="7B1B0DE4"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Pr>
                <w:rFonts w:ascii="Open Sans" w:eastAsia="Open Sans" w:hAnsi="Open Sans" w:cs="Open Sans"/>
                <w:b/>
                <w:bCs/>
                <w:color w:val="000000"/>
                <w:sz w:val="22"/>
                <w:szCs w:val="22"/>
              </w:rPr>
              <w:t>5,5%</w:t>
            </w:r>
          </w:p>
        </w:tc>
      </w:tr>
      <w:tr w:rsidR="00EE22B1" w14:paraId="3A1F9F12" w14:textId="77777777" w:rsidTr="00EE22B1">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2263" w:type="dxa"/>
            <w:vAlign w:val="bottom"/>
          </w:tcPr>
          <w:p w14:paraId="50828BFA"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Pontevedra</w:t>
            </w:r>
          </w:p>
        </w:tc>
        <w:tc>
          <w:tcPr>
            <w:tcW w:w="1701" w:type="dxa"/>
            <w:vAlign w:val="bottom"/>
          </w:tcPr>
          <w:p w14:paraId="3B40E850"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4,4%</w:t>
            </w:r>
          </w:p>
        </w:tc>
        <w:tc>
          <w:tcPr>
            <w:tcW w:w="1701" w:type="dxa"/>
            <w:vAlign w:val="bottom"/>
          </w:tcPr>
          <w:p w14:paraId="441D0D85"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5,7%</w:t>
            </w:r>
          </w:p>
        </w:tc>
        <w:tc>
          <w:tcPr>
            <w:tcW w:w="1843" w:type="dxa"/>
            <w:vAlign w:val="bottom"/>
          </w:tcPr>
          <w:p w14:paraId="299C7398"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5,3%</w:t>
            </w:r>
          </w:p>
        </w:tc>
        <w:tc>
          <w:tcPr>
            <w:tcW w:w="1615" w:type="dxa"/>
            <w:vAlign w:val="bottom"/>
          </w:tcPr>
          <w:p w14:paraId="720B649C"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Pr>
                <w:rFonts w:ascii="Open Sans" w:eastAsia="Open Sans" w:hAnsi="Open Sans" w:cs="Open Sans"/>
                <w:b/>
                <w:bCs/>
                <w:color w:val="000000"/>
                <w:sz w:val="22"/>
                <w:szCs w:val="22"/>
              </w:rPr>
              <w:t>5,3%</w:t>
            </w:r>
          </w:p>
        </w:tc>
      </w:tr>
      <w:tr w:rsidR="00EE22B1" w14:paraId="2BAB452D" w14:textId="77777777" w:rsidTr="00EE22B1">
        <w:trPr>
          <w:trHeight w:val="279"/>
        </w:trPr>
        <w:tc>
          <w:tcPr>
            <w:cnfStyle w:val="001000000000" w:firstRow="0" w:lastRow="0" w:firstColumn="1" w:lastColumn="0" w:oddVBand="0" w:evenVBand="0" w:oddHBand="0" w:evenHBand="0" w:firstRowFirstColumn="0" w:firstRowLastColumn="0" w:lastRowFirstColumn="0" w:lastRowLastColumn="0"/>
            <w:tcW w:w="2263" w:type="dxa"/>
            <w:vAlign w:val="bottom"/>
          </w:tcPr>
          <w:p w14:paraId="6A264CAE"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La Rioja</w:t>
            </w:r>
          </w:p>
        </w:tc>
        <w:tc>
          <w:tcPr>
            <w:tcW w:w="1701" w:type="dxa"/>
            <w:vAlign w:val="bottom"/>
          </w:tcPr>
          <w:p w14:paraId="5A589291"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5,0%</w:t>
            </w:r>
          </w:p>
        </w:tc>
        <w:tc>
          <w:tcPr>
            <w:tcW w:w="1701" w:type="dxa"/>
            <w:vAlign w:val="bottom"/>
          </w:tcPr>
          <w:p w14:paraId="12FB98F9"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6,3%</w:t>
            </w:r>
          </w:p>
        </w:tc>
        <w:tc>
          <w:tcPr>
            <w:tcW w:w="1843" w:type="dxa"/>
            <w:vAlign w:val="bottom"/>
          </w:tcPr>
          <w:p w14:paraId="59284932"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6,6%</w:t>
            </w:r>
          </w:p>
        </w:tc>
        <w:tc>
          <w:tcPr>
            <w:tcW w:w="1615" w:type="dxa"/>
            <w:vAlign w:val="bottom"/>
          </w:tcPr>
          <w:p w14:paraId="798CDA9A"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Pr>
                <w:rFonts w:ascii="Open Sans" w:eastAsia="Open Sans" w:hAnsi="Open Sans" w:cs="Open Sans"/>
                <w:b/>
                <w:bCs/>
                <w:color w:val="000000"/>
                <w:sz w:val="22"/>
                <w:szCs w:val="22"/>
              </w:rPr>
              <w:t>6,4%</w:t>
            </w:r>
          </w:p>
        </w:tc>
      </w:tr>
      <w:tr w:rsidR="00EE22B1" w14:paraId="230885C3" w14:textId="77777777" w:rsidTr="00EE22B1">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263" w:type="dxa"/>
            <w:vAlign w:val="bottom"/>
          </w:tcPr>
          <w:p w14:paraId="6489934E"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Madrid</w:t>
            </w:r>
          </w:p>
        </w:tc>
        <w:tc>
          <w:tcPr>
            <w:tcW w:w="1701" w:type="dxa"/>
            <w:vAlign w:val="bottom"/>
          </w:tcPr>
          <w:p w14:paraId="0CE50DE0"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5,7%</w:t>
            </w:r>
          </w:p>
        </w:tc>
        <w:tc>
          <w:tcPr>
            <w:tcW w:w="1701" w:type="dxa"/>
            <w:vAlign w:val="bottom"/>
          </w:tcPr>
          <w:p w14:paraId="4A520B7D"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5,3%</w:t>
            </w:r>
          </w:p>
        </w:tc>
        <w:tc>
          <w:tcPr>
            <w:tcW w:w="1843" w:type="dxa"/>
            <w:vAlign w:val="bottom"/>
          </w:tcPr>
          <w:p w14:paraId="488F8E54"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5,4%</w:t>
            </w:r>
          </w:p>
        </w:tc>
        <w:tc>
          <w:tcPr>
            <w:tcW w:w="1615" w:type="dxa"/>
            <w:vAlign w:val="bottom"/>
          </w:tcPr>
          <w:p w14:paraId="46541723"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Pr>
                <w:rFonts w:ascii="Open Sans" w:eastAsia="Open Sans" w:hAnsi="Open Sans" w:cs="Open Sans"/>
                <w:b/>
                <w:bCs/>
                <w:color w:val="000000"/>
                <w:sz w:val="22"/>
                <w:szCs w:val="22"/>
              </w:rPr>
              <w:t>4,9%</w:t>
            </w:r>
          </w:p>
        </w:tc>
      </w:tr>
      <w:tr w:rsidR="00EE22B1" w14:paraId="7B0216B8" w14:textId="77777777" w:rsidTr="00EE22B1">
        <w:trPr>
          <w:trHeight w:val="279"/>
        </w:trPr>
        <w:tc>
          <w:tcPr>
            <w:cnfStyle w:val="001000000000" w:firstRow="0" w:lastRow="0" w:firstColumn="1" w:lastColumn="0" w:oddVBand="0" w:evenVBand="0" w:oddHBand="0" w:evenHBand="0" w:firstRowFirstColumn="0" w:firstRowLastColumn="0" w:lastRowFirstColumn="0" w:lastRowLastColumn="0"/>
            <w:tcW w:w="2263" w:type="dxa"/>
            <w:vAlign w:val="bottom"/>
          </w:tcPr>
          <w:p w14:paraId="190060D6"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Navarra</w:t>
            </w:r>
          </w:p>
        </w:tc>
        <w:tc>
          <w:tcPr>
            <w:tcW w:w="1701" w:type="dxa"/>
            <w:vAlign w:val="bottom"/>
          </w:tcPr>
          <w:p w14:paraId="3E8FA0CC"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5,3%</w:t>
            </w:r>
          </w:p>
        </w:tc>
        <w:tc>
          <w:tcPr>
            <w:tcW w:w="1701" w:type="dxa"/>
            <w:vAlign w:val="bottom"/>
          </w:tcPr>
          <w:p w14:paraId="27188EA6"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7,4%</w:t>
            </w:r>
          </w:p>
        </w:tc>
        <w:tc>
          <w:tcPr>
            <w:tcW w:w="1843" w:type="dxa"/>
            <w:vAlign w:val="bottom"/>
          </w:tcPr>
          <w:p w14:paraId="7425364A"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6,8%</w:t>
            </w:r>
          </w:p>
        </w:tc>
        <w:tc>
          <w:tcPr>
            <w:tcW w:w="1615" w:type="dxa"/>
            <w:vAlign w:val="bottom"/>
          </w:tcPr>
          <w:p w14:paraId="52A0B9BB"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Pr>
                <w:rFonts w:ascii="Open Sans" w:eastAsia="Open Sans" w:hAnsi="Open Sans" w:cs="Open Sans"/>
                <w:b/>
                <w:bCs/>
                <w:color w:val="000000"/>
                <w:sz w:val="22"/>
                <w:szCs w:val="22"/>
              </w:rPr>
              <w:t>6,3%</w:t>
            </w:r>
          </w:p>
        </w:tc>
      </w:tr>
      <w:tr w:rsidR="00EE22B1" w14:paraId="72E17398" w14:textId="77777777" w:rsidTr="00EE22B1">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263" w:type="dxa"/>
            <w:vAlign w:val="bottom"/>
          </w:tcPr>
          <w:p w14:paraId="1A2E7E3E"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lastRenderedPageBreak/>
              <w:t>Araba - Álava</w:t>
            </w:r>
          </w:p>
        </w:tc>
        <w:tc>
          <w:tcPr>
            <w:tcW w:w="1701" w:type="dxa"/>
            <w:vAlign w:val="bottom"/>
          </w:tcPr>
          <w:p w14:paraId="04ADCB7F"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4,7%</w:t>
            </w:r>
          </w:p>
        </w:tc>
        <w:tc>
          <w:tcPr>
            <w:tcW w:w="1701" w:type="dxa"/>
            <w:vAlign w:val="bottom"/>
          </w:tcPr>
          <w:p w14:paraId="1A6478BE"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5,4%</w:t>
            </w:r>
          </w:p>
        </w:tc>
        <w:tc>
          <w:tcPr>
            <w:tcW w:w="1843" w:type="dxa"/>
            <w:vAlign w:val="bottom"/>
          </w:tcPr>
          <w:p w14:paraId="1B78CDF1"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5,1%</w:t>
            </w:r>
          </w:p>
        </w:tc>
        <w:tc>
          <w:tcPr>
            <w:tcW w:w="1615" w:type="dxa"/>
            <w:vAlign w:val="bottom"/>
          </w:tcPr>
          <w:p w14:paraId="048163E1"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Pr>
                <w:rFonts w:ascii="Open Sans" w:eastAsia="Open Sans" w:hAnsi="Open Sans" w:cs="Open Sans"/>
                <w:b/>
                <w:bCs/>
                <w:color w:val="000000"/>
                <w:sz w:val="22"/>
                <w:szCs w:val="22"/>
              </w:rPr>
              <w:t>5,5%</w:t>
            </w:r>
          </w:p>
        </w:tc>
      </w:tr>
      <w:tr w:rsidR="00EE22B1" w14:paraId="76452230" w14:textId="77777777" w:rsidTr="00EE22B1">
        <w:trPr>
          <w:trHeight w:val="279"/>
        </w:trPr>
        <w:tc>
          <w:tcPr>
            <w:cnfStyle w:val="001000000000" w:firstRow="0" w:lastRow="0" w:firstColumn="1" w:lastColumn="0" w:oddVBand="0" w:evenVBand="0" w:oddHBand="0" w:evenHBand="0" w:firstRowFirstColumn="0" w:firstRowLastColumn="0" w:lastRowFirstColumn="0" w:lastRowLastColumn="0"/>
            <w:tcW w:w="2263" w:type="dxa"/>
            <w:vAlign w:val="bottom"/>
          </w:tcPr>
          <w:p w14:paraId="4E1C8BA6"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Bizkaia</w:t>
            </w:r>
          </w:p>
        </w:tc>
        <w:tc>
          <w:tcPr>
            <w:tcW w:w="1701" w:type="dxa"/>
            <w:vAlign w:val="bottom"/>
          </w:tcPr>
          <w:p w14:paraId="38263BD8"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4,5%</w:t>
            </w:r>
          </w:p>
        </w:tc>
        <w:tc>
          <w:tcPr>
            <w:tcW w:w="1701" w:type="dxa"/>
            <w:vAlign w:val="bottom"/>
          </w:tcPr>
          <w:p w14:paraId="2DD28D75"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5,2%</w:t>
            </w:r>
          </w:p>
        </w:tc>
        <w:tc>
          <w:tcPr>
            <w:tcW w:w="1843" w:type="dxa"/>
            <w:vAlign w:val="bottom"/>
          </w:tcPr>
          <w:p w14:paraId="01899FFE"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5,9%</w:t>
            </w:r>
          </w:p>
        </w:tc>
        <w:tc>
          <w:tcPr>
            <w:tcW w:w="1615" w:type="dxa"/>
            <w:vAlign w:val="bottom"/>
          </w:tcPr>
          <w:p w14:paraId="17CB88A0"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5,6%</w:t>
            </w:r>
          </w:p>
        </w:tc>
      </w:tr>
      <w:tr w:rsidR="00EE22B1" w14:paraId="7D63C7EC" w14:textId="77777777" w:rsidTr="00EE22B1">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2263" w:type="dxa"/>
            <w:vAlign w:val="bottom"/>
          </w:tcPr>
          <w:p w14:paraId="553D7C64"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Gipuzkoa</w:t>
            </w:r>
          </w:p>
        </w:tc>
        <w:tc>
          <w:tcPr>
            <w:tcW w:w="1701" w:type="dxa"/>
            <w:vAlign w:val="bottom"/>
          </w:tcPr>
          <w:p w14:paraId="32D9EE9B"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4,3%</w:t>
            </w:r>
          </w:p>
        </w:tc>
        <w:tc>
          <w:tcPr>
            <w:tcW w:w="1701" w:type="dxa"/>
            <w:vAlign w:val="bottom"/>
          </w:tcPr>
          <w:p w14:paraId="6DA387D3"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5,8%</w:t>
            </w:r>
          </w:p>
        </w:tc>
        <w:tc>
          <w:tcPr>
            <w:tcW w:w="1843" w:type="dxa"/>
            <w:vAlign w:val="bottom"/>
          </w:tcPr>
          <w:p w14:paraId="359E897D"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5,4%</w:t>
            </w:r>
          </w:p>
        </w:tc>
        <w:tc>
          <w:tcPr>
            <w:tcW w:w="1615" w:type="dxa"/>
            <w:vAlign w:val="bottom"/>
          </w:tcPr>
          <w:p w14:paraId="1E0D402D"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Pr>
                <w:rFonts w:ascii="Open Sans" w:eastAsia="Open Sans" w:hAnsi="Open Sans" w:cs="Open Sans"/>
                <w:b/>
                <w:bCs/>
                <w:color w:val="000000"/>
                <w:sz w:val="22"/>
                <w:szCs w:val="22"/>
              </w:rPr>
              <w:t>4,5%</w:t>
            </w:r>
          </w:p>
        </w:tc>
      </w:tr>
      <w:tr w:rsidR="00EE22B1" w14:paraId="50806AFD" w14:textId="77777777" w:rsidTr="00EE22B1">
        <w:trPr>
          <w:trHeight w:val="279"/>
        </w:trPr>
        <w:tc>
          <w:tcPr>
            <w:cnfStyle w:val="001000000000" w:firstRow="0" w:lastRow="0" w:firstColumn="1" w:lastColumn="0" w:oddVBand="0" w:evenVBand="0" w:oddHBand="0" w:evenHBand="0" w:firstRowFirstColumn="0" w:firstRowLastColumn="0" w:lastRowFirstColumn="0" w:lastRowLastColumn="0"/>
            <w:tcW w:w="2263" w:type="dxa"/>
            <w:vAlign w:val="bottom"/>
          </w:tcPr>
          <w:p w14:paraId="77F9B72C"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Murcia</w:t>
            </w:r>
          </w:p>
        </w:tc>
        <w:tc>
          <w:tcPr>
            <w:tcW w:w="1701" w:type="dxa"/>
            <w:vAlign w:val="bottom"/>
          </w:tcPr>
          <w:p w14:paraId="41F4F85D"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5,9%</w:t>
            </w:r>
          </w:p>
        </w:tc>
        <w:tc>
          <w:tcPr>
            <w:tcW w:w="1701" w:type="dxa"/>
            <w:vAlign w:val="bottom"/>
          </w:tcPr>
          <w:p w14:paraId="6DE8D87B"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7,9%</w:t>
            </w:r>
          </w:p>
        </w:tc>
        <w:tc>
          <w:tcPr>
            <w:tcW w:w="1843" w:type="dxa"/>
            <w:vAlign w:val="bottom"/>
          </w:tcPr>
          <w:p w14:paraId="18C5D894"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7,2%</w:t>
            </w:r>
          </w:p>
        </w:tc>
        <w:tc>
          <w:tcPr>
            <w:tcW w:w="1615" w:type="dxa"/>
            <w:vAlign w:val="bottom"/>
          </w:tcPr>
          <w:p w14:paraId="79125CD6"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Pr>
                <w:rFonts w:ascii="Open Sans" w:eastAsia="Open Sans" w:hAnsi="Open Sans" w:cs="Open Sans"/>
                <w:b/>
                <w:bCs/>
                <w:color w:val="000000"/>
                <w:sz w:val="22"/>
                <w:szCs w:val="22"/>
              </w:rPr>
              <w:t>5,9%</w:t>
            </w:r>
          </w:p>
        </w:tc>
      </w:tr>
    </w:tbl>
    <w:p w14:paraId="69953F74" w14:textId="77777777" w:rsidR="00EE22B1" w:rsidRDefault="00000000">
      <w:pPr>
        <w:pBdr>
          <w:top w:val="nil"/>
          <w:left w:val="nil"/>
          <w:bottom w:val="nil"/>
          <w:right w:val="nil"/>
          <w:between w:val="nil"/>
        </w:pBdr>
        <w:shd w:val="clear" w:color="auto" w:fill="FFFFFF"/>
        <w:spacing w:before="280" w:after="280" w:line="276" w:lineRule="auto"/>
        <w:ind w:left="-142" w:right="-574"/>
        <w:jc w:val="both"/>
        <w:rPr>
          <w:rFonts w:ascii="Open Sans Light" w:eastAsia="Open Sans Light" w:hAnsi="Open Sans Light" w:cs="Open Sans Light"/>
          <w:b/>
          <w:bCs/>
          <w:color w:val="303AB2"/>
          <w:sz w:val="28"/>
          <w:szCs w:val="28"/>
        </w:rPr>
      </w:pPr>
      <w:r>
        <w:rPr>
          <w:rFonts w:ascii="Open Sans Light" w:eastAsia="Open Sans Light" w:hAnsi="Open Sans Light" w:cs="Open Sans Light"/>
          <w:b/>
          <w:bCs/>
          <w:color w:val="303AB2"/>
        </w:rPr>
        <w:t>Tabla 3. Rentabilidad de la vivienda por ciudades en 2021, 2025 y 2026</w:t>
      </w:r>
    </w:p>
    <w:tbl>
      <w:tblPr>
        <w:tblStyle w:val="a1"/>
        <w:tblW w:w="9209"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555"/>
        <w:gridCol w:w="2976"/>
        <w:gridCol w:w="1560"/>
        <w:gridCol w:w="1559"/>
        <w:gridCol w:w="1559"/>
      </w:tblGrid>
      <w:tr w:rsidR="00EE22B1" w14:paraId="057805D2" w14:textId="77777777" w:rsidTr="00EE22B1">
        <w:trPr>
          <w:cnfStyle w:val="100000000000" w:firstRow="1" w:lastRow="0" w:firstColumn="0" w:lastColumn="0" w:oddVBand="0" w:evenVBand="0" w:oddHBand="0"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1DB0334A"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Provincia</w:t>
            </w:r>
          </w:p>
        </w:tc>
        <w:tc>
          <w:tcPr>
            <w:tcW w:w="2976" w:type="dxa"/>
            <w:vAlign w:val="center"/>
          </w:tcPr>
          <w:p w14:paraId="0BAC51D0" w14:textId="77777777" w:rsidR="00EE22B1" w:rsidRDefault="00000000">
            <w:pP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Ciudad</w:t>
            </w:r>
          </w:p>
        </w:tc>
        <w:tc>
          <w:tcPr>
            <w:tcW w:w="1560" w:type="dxa"/>
            <w:vAlign w:val="center"/>
          </w:tcPr>
          <w:p w14:paraId="6CCB4751" w14:textId="77777777" w:rsidR="00EE22B1" w:rsidRDefault="00000000">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b w:val="0"/>
                <w:bCs w:val="0"/>
                <w:color w:val="000000"/>
                <w:sz w:val="22"/>
                <w:szCs w:val="22"/>
              </w:rPr>
              <w:t>Rentabilidad</w:t>
            </w:r>
          </w:p>
          <w:p w14:paraId="4D7BD574" w14:textId="77777777" w:rsidR="00EE22B1" w:rsidRDefault="00000000">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b w:val="0"/>
                <w:bCs w:val="0"/>
                <w:color w:val="000000"/>
                <w:sz w:val="22"/>
                <w:szCs w:val="22"/>
              </w:rPr>
              <w:t>2T-2021</w:t>
            </w:r>
          </w:p>
          <w:p w14:paraId="22B893B1" w14:textId="77777777" w:rsidR="00EE22B1" w:rsidRDefault="00000000">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b w:val="0"/>
                <w:bCs w:val="0"/>
                <w:color w:val="000000"/>
                <w:sz w:val="22"/>
                <w:szCs w:val="22"/>
              </w:rPr>
              <w:t>(5 años)</w:t>
            </w:r>
          </w:p>
        </w:tc>
        <w:tc>
          <w:tcPr>
            <w:tcW w:w="1559" w:type="dxa"/>
            <w:vAlign w:val="center"/>
          </w:tcPr>
          <w:p w14:paraId="1E06AAE5" w14:textId="77777777" w:rsidR="00EE22B1" w:rsidRDefault="00000000">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b w:val="0"/>
                <w:bCs w:val="0"/>
                <w:color w:val="000000"/>
                <w:sz w:val="22"/>
                <w:szCs w:val="22"/>
              </w:rPr>
              <w:t>Rentabilidad</w:t>
            </w:r>
          </w:p>
          <w:p w14:paraId="00D6D283" w14:textId="77777777" w:rsidR="00EE22B1" w:rsidRDefault="00000000">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b w:val="0"/>
                <w:bCs w:val="0"/>
                <w:color w:val="000000"/>
                <w:sz w:val="22"/>
                <w:szCs w:val="22"/>
              </w:rPr>
              <w:t>2T-2025</w:t>
            </w:r>
          </w:p>
          <w:p w14:paraId="4C568B5C" w14:textId="77777777" w:rsidR="00EE22B1" w:rsidRDefault="00000000">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b w:val="0"/>
                <w:bCs w:val="0"/>
                <w:color w:val="000000"/>
                <w:sz w:val="22"/>
                <w:szCs w:val="22"/>
              </w:rPr>
              <w:t>(1 año)</w:t>
            </w:r>
          </w:p>
        </w:tc>
        <w:tc>
          <w:tcPr>
            <w:tcW w:w="1559" w:type="dxa"/>
            <w:vAlign w:val="center"/>
          </w:tcPr>
          <w:p w14:paraId="2F2D22DD" w14:textId="77777777" w:rsidR="00EE22B1" w:rsidRDefault="00000000">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b w:val="0"/>
                <w:bCs w:val="0"/>
                <w:color w:val="000000"/>
                <w:sz w:val="22"/>
                <w:szCs w:val="22"/>
              </w:rPr>
              <w:t>Rentabilidad</w:t>
            </w:r>
          </w:p>
          <w:p w14:paraId="719F4070" w14:textId="77777777" w:rsidR="00EE22B1" w:rsidRDefault="00000000">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b w:val="0"/>
                <w:bCs w:val="0"/>
                <w:color w:val="000000"/>
                <w:sz w:val="22"/>
                <w:szCs w:val="22"/>
              </w:rPr>
              <w:t>2T-2026</w:t>
            </w:r>
          </w:p>
        </w:tc>
      </w:tr>
      <w:tr w:rsidR="00EE22B1" w14:paraId="64B2E5FD"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688409F3"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Almería</w:t>
            </w:r>
          </w:p>
        </w:tc>
        <w:tc>
          <w:tcPr>
            <w:tcW w:w="2976" w:type="dxa"/>
            <w:vAlign w:val="bottom"/>
          </w:tcPr>
          <w:p w14:paraId="2C7EA61D"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El Ejido</w:t>
            </w:r>
          </w:p>
        </w:tc>
        <w:tc>
          <w:tcPr>
            <w:tcW w:w="1560" w:type="dxa"/>
            <w:vAlign w:val="bottom"/>
          </w:tcPr>
          <w:p w14:paraId="11B78386"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483D6F1D"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12,7%</w:t>
            </w:r>
          </w:p>
        </w:tc>
        <w:tc>
          <w:tcPr>
            <w:tcW w:w="1559" w:type="dxa"/>
            <w:vAlign w:val="bottom"/>
          </w:tcPr>
          <w:p w14:paraId="77DC97A7"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12,2%</w:t>
            </w:r>
          </w:p>
        </w:tc>
      </w:tr>
      <w:tr w:rsidR="00EE22B1" w14:paraId="67ED1554"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3E2E12B9"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Almería</w:t>
            </w:r>
          </w:p>
        </w:tc>
        <w:tc>
          <w:tcPr>
            <w:tcW w:w="2976" w:type="dxa"/>
            <w:vAlign w:val="bottom"/>
          </w:tcPr>
          <w:p w14:paraId="089107B2"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Adra</w:t>
            </w:r>
          </w:p>
        </w:tc>
        <w:tc>
          <w:tcPr>
            <w:tcW w:w="1560" w:type="dxa"/>
            <w:vAlign w:val="bottom"/>
          </w:tcPr>
          <w:p w14:paraId="3EE0EBE4"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55C65475"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13,7%</w:t>
            </w:r>
          </w:p>
        </w:tc>
        <w:tc>
          <w:tcPr>
            <w:tcW w:w="1559" w:type="dxa"/>
            <w:vAlign w:val="bottom"/>
          </w:tcPr>
          <w:p w14:paraId="34A2E30C"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12,0%</w:t>
            </w:r>
          </w:p>
        </w:tc>
      </w:tr>
      <w:tr w:rsidR="00EE22B1" w14:paraId="4DB08202"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0D582CC8"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Barcelona</w:t>
            </w:r>
          </w:p>
        </w:tc>
        <w:tc>
          <w:tcPr>
            <w:tcW w:w="2976" w:type="dxa"/>
            <w:vAlign w:val="bottom"/>
          </w:tcPr>
          <w:p w14:paraId="0ABAB267"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Santa Coloma de Gramenet</w:t>
            </w:r>
          </w:p>
        </w:tc>
        <w:tc>
          <w:tcPr>
            <w:tcW w:w="1560" w:type="dxa"/>
            <w:vAlign w:val="bottom"/>
          </w:tcPr>
          <w:p w14:paraId="375AC04E"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2F905497"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4F0A000B"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11,7%</w:t>
            </w:r>
          </w:p>
        </w:tc>
      </w:tr>
      <w:tr w:rsidR="00EE22B1" w14:paraId="0D7528A0"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077862AB"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Burgos</w:t>
            </w:r>
          </w:p>
        </w:tc>
        <w:tc>
          <w:tcPr>
            <w:tcW w:w="2976" w:type="dxa"/>
            <w:vAlign w:val="bottom"/>
          </w:tcPr>
          <w:p w14:paraId="306DE8BA"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Miranda de Ebro</w:t>
            </w:r>
          </w:p>
        </w:tc>
        <w:tc>
          <w:tcPr>
            <w:tcW w:w="1560" w:type="dxa"/>
            <w:vAlign w:val="bottom"/>
          </w:tcPr>
          <w:p w14:paraId="038600AA"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46D42C1C"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54AD0A68"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10,2%</w:t>
            </w:r>
          </w:p>
        </w:tc>
      </w:tr>
      <w:tr w:rsidR="00EE22B1" w14:paraId="10161FF0"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62A44ABB"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Las Palmas</w:t>
            </w:r>
          </w:p>
        </w:tc>
        <w:tc>
          <w:tcPr>
            <w:tcW w:w="2976" w:type="dxa"/>
            <w:vAlign w:val="bottom"/>
          </w:tcPr>
          <w:p w14:paraId="53D3C225"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Telde</w:t>
            </w:r>
          </w:p>
        </w:tc>
        <w:tc>
          <w:tcPr>
            <w:tcW w:w="1560" w:type="dxa"/>
            <w:vAlign w:val="bottom"/>
          </w:tcPr>
          <w:p w14:paraId="7DCBF9F4"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7,0%</w:t>
            </w:r>
          </w:p>
        </w:tc>
        <w:tc>
          <w:tcPr>
            <w:tcW w:w="1559" w:type="dxa"/>
            <w:vAlign w:val="bottom"/>
          </w:tcPr>
          <w:p w14:paraId="1540F0CB"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8,7%</w:t>
            </w:r>
          </w:p>
        </w:tc>
        <w:tc>
          <w:tcPr>
            <w:tcW w:w="1559" w:type="dxa"/>
            <w:vAlign w:val="bottom"/>
          </w:tcPr>
          <w:p w14:paraId="776245A1"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9,9%</w:t>
            </w:r>
          </w:p>
        </w:tc>
      </w:tr>
      <w:tr w:rsidR="00EE22B1" w14:paraId="41E953BD"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3BD3E3C6"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Alicante</w:t>
            </w:r>
          </w:p>
        </w:tc>
        <w:tc>
          <w:tcPr>
            <w:tcW w:w="2976" w:type="dxa"/>
            <w:vAlign w:val="bottom"/>
          </w:tcPr>
          <w:p w14:paraId="4AD5F580"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Elda</w:t>
            </w:r>
          </w:p>
        </w:tc>
        <w:tc>
          <w:tcPr>
            <w:tcW w:w="1560" w:type="dxa"/>
            <w:vAlign w:val="bottom"/>
          </w:tcPr>
          <w:p w14:paraId="0D380FC9"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3AC25528"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9,1%</w:t>
            </w:r>
          </w:p>
        </w:tc>
        <w:tc>
          <w:tcPr>
            <w:tcW w:w="1559" w:type="dxa"/>
            <w:vAlign w:val="bottom"/>
          </w:tcPr>
          <w:p w14:paraId="4C49AFC7"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9,5%</w:t>
            </w:r>
          </w:p>
        </w:tc>
      </w:tr>
      <w:tr w:rsidR="00EE22B1" w14:paraId="3ADA3D0B"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2F3E4976"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Valencia</w:t>
            </w:r>
          </w:p>
        </w:tc>
        <w:tc>
          <w:tcPr>
            <w:tcW w:w="2976" w:type="dxa"/>
            <w:vAlign w:val="bottom"/>
          </w:tcPr>
          <w:p w14:paraId="0394F881"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Sueca</w:t>
            </w:r>
          </w:p>
        </w:tc>
        <w:tc>
          <w:tcPr>
            <w:tcW w:w="1560" w:type="dxa"/>
            <w:vAlign w:val="bottom"/>
          </w:tcPr>
          <w:p w14:paraId="050E2F07"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0C2EE1EF"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7D9E3EC0"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9,2%</w:t>
            </w:r>
          </w:p>
        </w:tc>
      </w:tr>
      <w:tr w:rsidR="00EE22B1" w14:paraId="6FC3C9BA"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61649B0C"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León</w:t>
            </w:r>
          </w:p>
        </w:tc>
        <w:tc>
          <w:tcPr>
            <w:tcW w:w="2976" w:type="dxa"/>
            <w:vAlign w:val="bottom"/>
          </w:tcPr>
          <w:p w14:paraId="6B9D0335"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Ponferrada</w:t>
            </w:r>
          </w:p>
        </w:tc>
        <w:tc>
          <w:tcPr>
            <w:tcW w:w="1560" w:type="dxa"/>
            <w:vAlign w:val="bottom"/>
          </w:tcPr>
          <w:p w14:paraId="0190FF05"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6,7%</w:t>
            </w:r>
          </w:p>
        </w:tc>
        <w:tc>
          <w:tcPr>
            <w:tcW w:w="1559" w:type="dxa"/>
            <w:vAlign w:val="bottom"/>
          </w:tcPr>
          <w:p w14:paraId="3294128C"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8,2%</w:t>
            </w:r>
          </w:p>
        </w:tc>
        <w:tc>
          <w:tcPr>
            <w:tcW w:w="1559" w:type="dxa"/>
            <w:vAlign w:val="bottom"/>
          </w:tcPr>
          <w:p w14:paraId="75985362"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9,2%</w:t>
            </w:r>
          </w:p>
        </w:tc>
      </w:tr>
      <w:tr w:rsidR="00EE22B1" w14:paraId="0315A325"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451ED530"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Badajoz</w:t>
            </w:r>
          </w:p>
        </w:tc>
        <w:tc>
          <w:tcPr>
            <w:tcW w:w="2976" w:type="dxa"/>
            <w:vAlign w:val="bottom"/>
          </w:tcPr>
          <w:p w14:paraId="4AE56C93"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Almendralejo</w:t>
            </w:r>
          </w:p>
        </w:tc>
        <w:tc>
          <w:tcPr>
            <w:tcW w:w="1560" w:type="dxa"/>
            <w:vAlign w:val="bottom"/>
          </w:tcPr>
          <w:p w14:paraId="5E8330F2"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69F9A32E"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9,8%</w:t>
            </w:r>
          </w:p>
        </w:tc>
        <w:tc>
          <w:tcPr>
            <w:tcW w:w="1559" w:type="dxa"/>
            <w:vAlign w:val="bottom"/>
          </w:tcPr>
          <w:p w14:paraId="28F611CD"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8,9%</w:t>
            </w:r>
          </w:p>
        </w:tc>
      </w:tr>
      <w:tr w:rsidR="00EE22B1" w14:paraId="77036AF8"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7020625C"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Ciudad Real</w:t>
            </w:r>
          </w:p>
        </w:tc>
        <w:tc>
          <w:tcPr>
            <w:tcW w:w="2976" w:type="dxa"/>
            <w:vAlign w:val="bottom"/>
          </w:tcPr>
          <w:p w14:paraId="256A4BCD"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Valdepeñas</w:t>
            </w:r>
          </w:p>
        </w:tc>
        <w:tc>
          <w:tcPr>
            <w:tcW w:w="1560" w:type="dxa"/>
            <w:vAlign w:val="bottom"/>
          </w:tcPr>
          <w:p w14:paraId="79EAC2EC"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3E44D491"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719B89D3"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8,9%</w:t>
            </w:r>
          </w:p>
        </w:tc>
      </w:tr>
      <w:tr w:rsidR="00EE22B1" w14:paraId="11C11825"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592BAE18"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Asturias</w:t>
            </w:r>
          </w:p>
        </w:tc>
        <w:tc>
          <w:tcPr>
            <w:tcW w:w="2976" w:type="dxa"/>
            <w:vAlign w:val="bottom"/>
          </w:tcPr>
          <w:p w14:paraId="7BC2AE40"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Siero</w:t>
            </w:r>
          </w:p>
        </w:tc>
        <w:tc>
          <w:tcPr>
            <w:tcW w:w="1560" w:type="dxa"/>
            <w:vAlign w:val="bottom"/>
          </w:tcPr>
          <w:p w14:paraId="76A3BDCA"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02B4E7FF"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7134CD9E"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8,9%</w:t>
            </w:r>
          </w:p>
        </w:tc>
      </w:tr>
      <w:tr w:rsidR="00EE22B1" w14:paraId="6D728EA8"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37C803A8"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Barcelona</w:t>
            </w:r>
          </w:p>
        </w:tc>
        <w:tc>
          <w:tcPr>
            <w:tcW w:w="2976" w:type="dxa"/>
            <w:vAlign w:val="bottom"/>
          </w:tcPr>
          <w:p w14:paraId="0F411110"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Badalona</w:t>
            </w:r>
          </w:p>
        </w:tc>
        <w:tc>
          <w:tcPr>
            <w:tcW w:w="1560" w:type="dxa"/>
            <w:vAlign w:val="bottom"/>
          </w:tcPr>
          <w:p w14:paraId="4E383BCC"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6,3%</w:t>
            </w:r>
          </w:p>
        </w:tc>
        <w:tc>
          <w:tcPr>
            <w:tcW w:w="1559" w:type="dxa"/>
            <w:vAlign w:val="bottom"/>
          </w:tcPr>
          <w:p w14:paraId="5E5AE8A9"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8,3%</w:t>
            </w:r>
          </w:p>
        </w:tc>
        <w:tc>
          <w:tcPr>
            <w:tcW w:w="1559" w:type="dxa"/>
            <w:vAlign w:val="bottom"/>
          </w:tcPr>
          <w:p w14:paraId="609C7648"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8,8%</w:t>
            </w:r>
          </w:p>
        </w:tc>
      </w:tr>
      <w:tr w:rsidR="00EE22B1" w14:paraId="6A6F9B9F"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5ED7AF73"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La Rioja</w:t>
            </w:r>
          </w:p>
        </w:tc>
        <w:tc>
          <w:tcPr>
            <w:tcW w:w="2976" w:type="dxa"/>
            <w:vAlign w:val="bottom"/>
          </w:tcPr>
          <w:p w14:paraId="1372C8B0"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Haro</w:t>
            </w:r>
          </w:p>
        </w:tc>
        <w:tc>
          <w:tcPr>
            <w:tcW w:w="1560" w:type="dxa"/>
            <w:vAlign w:val="bottom"/>
          </w:tcPr>
          <w:p w14:paraId="3589CFB8"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02F2A023"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30F60D79"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8,7%</w:t>
            </w:r>
          </w:p>
        </w:tc>
      </w:tr>
      <w:tr w:rsidR="00EE22B1" w14:paraId="1903788D"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56B20A3D"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Barcelona</w:t>
            </w:r>
          </w:p>
        </w:tc>
        <w:tc>
          <w:tcPr>
            <w:tcW w:w="2976" w:type="dxa"/>
            <w:vAlign w:val="bottom"/>
          </w:tcPr>
          <w:p w14:paraId="073F9A15"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Terrassa</w:t>
            </w:r>
          </w:p>
        </w:tc>
        <w:tc>
          <w:tcPr>
            <w:tcW w:w="1560" w:type="dxa"/>
            <w:vAlign w:val="bottom"/>
          </w:tcPr>
          <w:p w14:paraId="2E06DBE4"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6,4%</w:t>
            </w:r>
          </w:p>
        </w:tc>
        <w:tc>
          <w:tcPr>
            <w:tcW w:w="1559" w:type="dxa"/>
            <w:vAlign w:val="bottom"/>
          </w:tcPr>
          <w:p w14:paraId="582E7F83"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7,6%</w:t>
            </w:r>
          </w:p>
        </w:tc>
        <w:tc>
          <w:tcPr>
            <w:tcW w:w="1559" w:type="dxa"/>
            <w:vAlign w:val="bottom"/>
          </w:tcPr>
          <w:p w14:paraId="0ADE9B96"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8,6%</w:t>
            </w:r>
          </w:p>
        </w:tc>
      </w:tr>
      <w:tr w:rsidR="00EE22B1" w14:paraId="21C3735A"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35346F66"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Albacete</w:t>
            </w:r>
          </w:p>
        </w:tc>
        <w:tc>
          <w:tcPr>
            <w:tcW w:w="2976" w:type="dxa"/>
            <w:vAlign w:val="bottom"/>
          </w:tcPr>
          <w:p w14:paraId="37A25C0B"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Almansa</w:t>
            </w:r>
          </w:p>
        </w:tc>
        <w:tc>
          <w:tcPr>
            <w:tcW w:w="1560" w:type="dxa"/>
            <w:vAlign w:val="bottom"/>
          </w:tcPr>
          <w:p w14:paraId="6AB1F07A"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47637A65"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4E5B5B1E"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8,5%</w:t>
            </w:r>
          </w:p>
        </w:tc>
      </w:tr>
      <w:tr w:rsidR="00EE22B1" w14:paraId="31397B89"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622D1B49"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Ciudad Real</w:t>
            </w:r>
          </w:p>
        </w:tc>
        <w:tc>
          <w:tcPr>
            <w:tcW w:w="2976" w:type="dxa"/>
            <w:vAlign w:val="bottom"/>
          </w:tcPr>
          <w:p w14:paraId="777CA651"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Puertollano</w:t>
            </w:r>
          </w:p>
        </w:tc>
        <w:tc>
          <w:tcPr>
            <w:tcW w:w="1560" w:type="dxa"/>
            <w:vAlign w:val="bottom"/>
          </w:tcPr>
          <w:p w14:paraId="040579B9"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611B7144"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8,3%</w:t>
            </w:r>
          </w:p>
        </w:tc>
        <w:tc>
          <w:tcPr>
            <w:tcW w:w="1559" w:type="dxa"/>
            <w:vAlign w:val="bottom"/>
          </w:tcPr>
          <w:p w14:paraId="74D52D58"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8,5%</w:t>
            </w:r>
          </w:p>
        </w:tc>
      </w:tr>
      <w:tr w:rsidR="00EE22B1" w14:paraId="556C9414"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05450646"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Murcia</w:t>
            </w:r>
          </w:p>
        </w:tc>
        <w:tc>
          <w:tcPr>
            <w:tcW w:w="2976" w:type="dxa"/>
            <w:vAlign w:val="bottom"/>
          </w:tcPr>
          <w:p w14:paraId="440E5431"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Mazarrón</w:t>
            </w:r>
          </w:p>
        </w:tc>
        <w:tc>
          <w:tcPr>
            <w:tcW w:w="1560" w:type="dxa"/>
            <w:vAlign w:val="bottom"/>
          </w:tcPr>
          <w:p w14:paraId="74C0AE72"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1EF132AB"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9,3%</w:t>
            </w:r>
          </w:p>
        </w:tc>
        <w:tc>
          <w:tcPr>
            <w:tcW w:w="1559" w:type="dxa"/>
            <w:vAlign w:val="bottom"/>
          </w:tcPr>
          <w:p w14:paraId="2631894A"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8,4%</w:t>
            </w:r>
          </w:p>
        </w:tc>
      </w:tr>
      <w:tr w:rsidR="00EE22B1" w14:paraId="3B157BDA"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4179A5F2"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Valencia</w:t>
            </w:r>
          </w:p>
        </w:tc>
        <w:tc>
          <w:tcPr>
            <w:tcW w:w="2976" w:type="dxa"/>
            <w:vAlign w:val="bottom"/>
          </w:tcPr>
          <w:p w14:paraId="72E01738"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Sagunto / Sagunt</w:t>
            </w:r>
          </w:p>
        </w:tc>
        <w:tc>
          <w:tcPr>
            <w:tcW w:w="1560" w:type="dxa"/>
            <w:vAlign w:val="bottom"/>
          </w:tcPr>
          <w:p w14:paraId="19E7A52D"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66B85D20"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8,5%</w:t>
            </w:r>
          </w:p>
        </w:tc>
        <w:tc>
          <w:tcPr>
            <w:tcW w:w="1559" w:type="dxa"/>
            <w:vAlign w:val="bottom"/>
          </w:tcPr>
          <w:p w14:paraId="49D99427"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8,3%</w:t>
            </w:r>
          </w:p>
        </w:tc>
      </w:tr>
      <w:tr w:rsidR="00EE22B1" w14:paraId="4829BA7D"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423D3250"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Cádiz</w:t>
            </w:r>
          </w:p>
        </w:tc>
        <w:tc>
          <w:tcPr>
            <w:tcW w:w="2976" w:type="dxa"/>
            <w:vAlign w:val="bottom"/>
          </w:tcPr>
          <w:p w14:paraId="40BFF1EB"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La Línea de la Concepción</w:t>
            </w:r>
          </w:p>
        </w:tc>
        <w:tc>
          <w:tcPr>
            <w:tcW w:w="1560" w:type="dxa"/>
            <w:vAlign w:val="bottom"/>
          </w:tcPr>
          <w:p w14:paraId="1EB08975"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6,6%</w:t>
            </w:r>
          </w:p>
        </w:tc>
        <w:tc>
          <w:tcPr>
            <w:tcW w:w="1559" w:type="dxa"/>
            <w:vAlign w:val="bottom"/>
          </w:tcPr>
          <w:p w14:paraId="7596131C"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9,4%</w:t>
            </w:r>
          </w:p>
        </w:tc>
        <w:tc>
          <w:tcPr>
            <w:tcW w:w="1559" w:type="dxa"/>
            <w:vAlign w:val="bottom"/>
          </w:tcPr>
          <w:p w14:paraId="19680F90"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8,3%</w:t>
            </w:r>
          </w:p>
        </w:tc>
      </w:tr>
      <w:tr w:rsidR="00EE22B1" w14:paraId="3649655B"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03E42993"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Jaén</w:t>
            </w:r>
          </w:p>
        </w:tc>
        <w:tc>
          <w:tcPr>
            <w:tcW w:w="2976" w:type="dxa"/>
            <w:vAlign w:val="bottom"/>
          </w:tcPr>
          <w:p w14:paraId="631BAFE9"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Úbeda</w:t>
            </w:r>
          </w:p>
        </w:tc>
        <w:tc>
          <w:tcPr>
            <w:tcW w:w="1560" w:type="dxa"/>
            <w:vAlign w:val="bottom"/>
          </w:tcPr>
          <w:p w14:paraId="383870BC"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6849B622"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7,8%</w:t>
            </w:r>
          </w:p>
        </w:tc>
        <w:tc>
          <w:tcPr>
            <w:tcW w:w="1559" w:type="dxa"/>
            <w:vAlign w:val="bottom"/>
          </w:tcPr>
          <w:p w14:paraId="6EDD2E62"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8,3%</w:t>
            </w:r>
          </w:p>
        </w:tc>
      </w:tr>
      <w:tr w:rsidR="00EE22B1" w14:paraId="0DA51B59"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38C2225C"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Zamora</w:t>
            </w:r>
          </w:p>
        </w:tc>
        <w:tc>
          <w:tcPr>
            <w:tcW w:w="2976" w:type="dxa"/>
            <w:vAlign w:val="bottom"/>
          </w:tcPr>
          <w:p w14:paraId="0AACF625"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Zamora Capital</w:t>
            </w:r>
          </w:p>
        </w:tc>
        <w:tc>
          <w:tcPr>
            <w:tcW w:w="1560" w:type="dxa"/>
            <w:vAlign w:val="bottom"/>
          </w:tcPr>
          <w:p w14:paraId="286BB14D"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467D91DE"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8,4%</w:t>
            </w:r>
          </w:p>
        </w:tc>
        <w:tc>
          <w:tcPr>
            <w:tcW w:w="1559" w:type="dxa"/>
            <w:vAlign w:val="bottom"/>
          </w:tcPr>
          <w:p w14:paraId="5A51C2A5"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8,2%</w:t>
            </w:r>
          </w:p>
        </w:tc>
      </w:tr>
      <w:tr w:rsidR="00EE22B1" w14:paraId="2AB7BCBC"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1216CBEC"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Valencia</w:t>
            </w:r>
          </w:p>
        </w:tc>
        <w:tc>
          <w:tcPr>
            <w:tcW w:w="2976" w:type="dxa"/>
            <w:vAlign w:val="bottom"/>
          </w:tcPr>
          <w:p w14:paraId="0F99E51E"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Torrent</w:t>
            </w:r>
          </w:p>
        </w:tc>
        <w:tc>
          <w:tcPr>
            <w:tcW w:w="1560" w:type="dxa"/>
            <w:vAlign w:val="bottom"/>
          </w:tcPr>
          <w:p w14:paraId="1DF77536"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39584CC5"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8,2%</w:t>
            </w:r>
          </w:p>
        </w:tc>
        <w:tc>
          <w:tcPr>
            <w:tcW w:w="1559" w:type="dxa"/>
            <w:vAlign w:val="bottom"/>
          </w:tcPr>
          <w:p w14:paraId="0B85E53B"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8,2%</w:t>
            </w:r>
          </w:p>
        </w:tc>
      </w:tr>
      <w:tr w:rsidR="00EE22B1" w14:paraId="39D56BFF"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65D049E4"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Almería</w:t>
            </w:r>
          </w:p>
        </w:tc>
        <w:tc>
          <w:tcPr>
            <w:tcW w:w="2976" w:type="dxa"/>
            <w:vAlign w:val="bottom"/>
          </w:tcPr>
          <w:p w14:paraId="02AFA89E"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Vícar</w:t>
            </w:r>
          </w:p>
        </w:tc>
        <w:tc>
          <w:tcPr>
            <w:tcW w:w="1560" w:type="dxa"/>
            <w:vAlign w:val="bottom"/>
          </w:tcPr>
          <w:p w14:paraId="27E46162"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7F78B7FA"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5536FEAF"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8,1%</w:t>
            </w:r>
          </w:p>
        </w:tc>
      </w:tr>
      <w:tr w:rsidR="00EE22B1" w14:paraId="527B1571"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4B9CE91B"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Cantabria</w:t>
            </w:r>
          </w:p>
        </w:tc>
        <w:tc>
          <w:tcPr>
            <w:tcW w:w="2976" w:type="dxa"/>
            <w:vAlign w:val="bottom"/>
          </w:tcPr>
          <w:p w14:paraId="5DA797FC"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Laredo</w:t>
            </w:r>
          </w:p>
        </w:tc>
        <w:tc>
          <w:tcPr>
            <w:tcW w:w="1560" w:type="dxa"/>
            <w:vAlign w:val="bottom"/>
          </w:tcPr>
          <w:p w14:paraId="017E7CF6"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6C8C97BF"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9,2%</w:t>
            </w:r>
          </w:p>
        </w:tc>
        <w:tc>
          <w:tcPr>
            <w:tcW w:w="1559" w:type="dxa"/>
            <w:vAlign w:val="bottom"/>
          </w:tcPr>
          <w:p w14:paraId="68A664EF"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8,1%</w:t>
            </w:r>
          </w:p>
        </w:tc>
      </w:tr>
      <w:tr w:rsidR="00EE22B1" w14:paraId="17B635F4"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56F26A1D"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Jaén</w:t>
            </w:r>
          </w:p>
        </w:tc>
        <w:tc>
          <w:tcPr>
            <w:tcW w:w="2976" w:type="dxa"/>
            <w:vAlign w:val="bottom"/>
          </w:tcPr>
          <w:p w14:paraId="2CDDC11D"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Linares</w:t>
            </w:r>
          </w:p>
        </w:tc>
        <w:tc>
          <w:tcPr>
            <w:tcW w:w="1560" w:type="dxa"/>
            <w:vAlign w:val="bottom"/>
          </w:tcPr>
          <w:p w14:paraId="52464290"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6C745DA9"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8,5%</w:t>
            </w:r>
          </w:p>
        </w:tc>
        <w:tc>
          <w:tcPr>
            <w:tcW w:w="1559" w:type="dxa"/>
            <w:vAlign w:val="bottom"/>
          </w:tcPr>
          <w:p w14:paraId="473A03F2"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8,1%</w:t>
            </w:r>
          </w:p>
        </w:tc>
      </w:tr>
      <w:tr w:rsidR="00EE22B1" w14:paraId="6D0C0190"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44409FB7"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Sevilla</w:t>
            </w:r>
          </w:p>
        </w:tc>
        <w:tc>
          <w:tcPr>
            <w:tcW w:w="2976" w:type="dxa"/>
            <w:vAlign w:val="bottom"/>
          </w:tcPr>
          <w:p w14:paraId="7E3C13A8"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Dos Hermanas</w:t>
            </w:r>
          </w:p>
        </w:tc>
        <w:tc>
          <w:tcPr>
            <w:tcW w:w="1560" w:type="dxa"/>
            <w:vAlign w:val="bottom"/>
          </w:tcPr>
          <w:p w14:paraId="61CB0E9D"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6,8%</w:t>
            </w:r>
          </w:p>
        </w:tc>
        <w:tc>
          <w:tcPr>
            <w:tcW w:w="1559" w:type="dxa"/>
            <w:vAlign w:val="bottom"/>
          </w:tcPr>
          <w:p w14:paraId="45FC7D2B"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7,2%</w:t>
            </w:r>
          </w:p>
        </w:tc>
        <w:tc>
          <w:tcPr>
            <w:tcW w:w="1559" w:type="dxa"/>
            <w:vAlign w:val="bottom"/>
          </w:tcPr>
          <w:p w14:paraId="025AB630"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8,0%</w:t>
            </w:r>
          </w:p>
        </w:tc>
      </w:tr>
      <w:tr w:rsidR="00EE22B1" w14:paraId="4A1260DA"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00A4DF04"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Toledo</w:t>
            </w:r>
          </w:p>
        </w:tc>
        <w:tc>
          <w:tcPr>
            <w:tcW w:w="2976" w:type="dxa"/>
            <w:vAlign w:val="bottom"/>
          </w:tcPr>
          <w:p w14:paraId="500C3DA5"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Talavera de la Reina</w:t>
            </w:r>
          </w:p>
        </w:tc>
        <w:tc>
          <w:tcPr>
            <w:tcW w:w="1560" w:type="dxa"/>
            <w:vAlign w:val="bottom"/>
          </w:tcPr>
          <w:p w14:paraId="00A5CEB2"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73F722E1"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8,2%</w:t>
            </w:r>
          </w:p>
        </w:tc>
        <w:tc>
          <w:tcPr>
            <w:tcW w:w="1559" w:type="dxa"/>
            <w:vAlign w:val="bottom"/>
          </w:tcPr>
          <w:p w14:paraId="6B0215FC"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8,0%</w:t>
            </w:r>
          </w:p>
        </w:tc>
      </w:tr>
      <w:tr w:rsidR="00EE22B1" w14:paraId="796A19DE"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3E1A7239"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Cantabria</w:t>
            </w:r>
          </w:p>
        </w:tc>
        <w:tc>
          <w:tcPr>
            <w:tcW w:w="2976" w:type="dxa"/>
            <w:vAlign w:val="bottom"/>
          </w:tcPr>
          <w:p w14:paraId="179CC52F"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Torrelavega</w:t>
            </w:r>
          </w:p>
        </w:tc>
        <w:tc>
          <w:tcPr>
            <w:tcW w:w="1560" w:type="dxa"/>
            <w:vAlign w:val="bottom"/>
          </w:tcPr>
          <w:p w14:paraId="744552B2"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22826077"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8,2%</w:t>
            </w:r>
          </w:p>
        </w:tc>
        <w:tc>
          <w:tcPr>
            <w:tcW w:w="1559" w:type="dxa"/>
            <w:vAlign w:val="bottom"/>
          </w:tcPr>
          <w:p w14:paraId="7EBB7AFC"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8,0%</w:t>
            </w:r>
          </w:p>
        </w:tc>
      </w:tr>
      <w:tr w:rsidR="00EE22B1" w14:paraId="11CA1DE1"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766F5175"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Barcelona</w:t>
            </w:r>
          </w:p>
        </w:tc>
        <w:tc>
          <w:tcPr>
            <w:tcW w:w="2976" w:type="dxa"/>
            <w:vAlign w:val="bottom"/>
          </w:tcPr>
          <w:p w14:paraId="2794E06E"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Mollet del Vallès</w:t>
            </w:r>
          </w:p>
        </w:tc>
        <w:tc>
          <w:tcPr>
            <w:tcW w:w="1560" w:type="dxa"/>
            <w:vAlign w:val="bottom"/>
          </w:tcPr>
          <w:p w14:paraId="1572973B"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68207FE8"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41D7E071"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7,8%</w:t>
            </w:r>
          </w:p>
        </w:tc>
      </w:tr>
      <w:tr w:rsidR="00EE22B1" w14:paraId="6B53EFCE"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11E8F784"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Huelva</w:t>
            </w:r>
          </w:p>
        </w:tc>
        <w:tc>
          <w:tcPr>
            <w:tcW w:w="2976" w:type="dxa"/>
            <w:vAlign w:val="bottom"/>
          </w:tcPr>
          <w:p w14:paraId="316C2DF7"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Punta Umbría</w:t>
            </w:r>
          </w:p>
        </w:tc>
        <w:tc>
          <w:tcPr>
            <w:tcW w:w="1560" w:type="dxa"/>
            <w:vAlign w:val="bottom"/>
          </w:tcPr>
          <w:p w14:paraId="1E2C1A40"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1CF7C199"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6,2%</w:t>
            </w:r>
          </w:p>
        </w:tc>
        <w:tc>
          <w:tcPr>
            <w:tcW w:w="1559" w:type="dxa"/>
            <w:vAlign w:val="bottom"/>
          </w:tcPr>
          <w:p w14:paraId="67CAD4D5"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7,8%</w:t>
            </w:r>
          </w:p>
        </w:tc>
      </w:tr>
      <w:tr w:rsidR="00EE22B1" w14:paraId="05F97581"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0E23986B"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Huelva</w:t>
            </w:r>
          </w:p>
        </w:tc>
        <w:tc>
          <w:tcPr>
            <w:tcW w:w="2976" w:type="dxa"/>
            <w:vAlign w:val="bottom"/>
          </w:tcPr>
          <w:p w14:paraId="069AE79D"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Huelva Capital</w:t>
            </w:r>
          </w:p>
        </w:tc>
        <w:tc>
          <w:tcPr>
            <w:tcW w:w="1560" w:type="dxa"/>
            <w:vAlign w:val="bottom"/>
          </w:tcPr>
          <w:p w14:paraId="7FB421FC"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6,5%</w:t>
            </w:r>
          </w:p>
        </w:tc>
        <w:tc>
          <w:tcPr>
            <w:tcW w:w="1559" w:type="dxa"/>
            <w:vAlign w:val="bottom"/>
          </w:tcPr>
          <w:p w14:paraId="3C88CA57"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6,8%</w:t>
            </w:r>
          </w:p>
        </w:tc>
        <w:tc>
          <w:tcPr>
            <w:tcW w:w="1559" w:type="dxa"/>
            <w:vAlign w:val="bottom"/>
          </w:tcPr>
          <w:p w14:paraId="66C746F1"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7,7%</w:t>
            </w:r>
          </w:p>
        </w:tc>
      </w:tr>
      <w:tr w:rsidR="00EE22B1" w14:paraId="1EF09039"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4E1D8332"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Barcelona</w:t>
            </w:r>
          </w:p>
        </w:tc>
        <w:tc>
          <w:tcPr>
            <w:tcW w:w="2976" w:type="dxa"/>
            <w:vAlign w:val="bottom"/>
          </w:tcPr>
          <w:p w14:paraId="5D3EEAE1"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Manresa</w:t>
            </w:r>
          </w:p>
        </w:tc>
        <w:tc>
          <w:tcPr>
            <w:tcW w:w="1560" w:type="dxa"/>
            <w:vAlign w:val="bottom"/>
          </w:tcPr>
          <w:p w14:paraId="51C5B226"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7,3%</w:t>
            </w:r>
          </w:p>
        </w:tc>
        <w:tc>
          <w:tcPr>
            <w:tcW w:w="1559" w:type="dxa"/>
            <w:vAlign w:val="bottom"/>
          </w:tcPr>
          <w:p w14:paraId="285031AD"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7,5%</w:t>
            </w:r>
          </w:p>
        </w:tc>
        <w:tc>
          <w:tcPr>
            <w:tcW w:w="1559" w:type="dxa"/>
            <w:vAlign w:val="bottom"/>
          </w:tcPr>
          <w:p w14:paraId="278E7378"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7,7%</w:t>
            </w:r>
          </w:p>
        </w:tc>
      </w:tr>
      <w:tr w:rsidR="00EE22B1" w14:paraId="7A2A6FAB"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0DD99514"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Asturias</w:t>
            </w:r>
          </w:p>
        </w:tc>
        <w:tc>
          <w:tcPr>
            <w:tcW w:w="2976" w:type="dxa"/>
            <w:vAlign w:val="bottom"/>
          </w:tcPr>
          <w:p w14:paraId="6F38E6D8"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Mieres (Asturias)</w:t>
            </w:r>
          </w:p>
        </w:tc>
        <w:tc>
          <w:tcPr>
            <w:tcW w:w="1560" w:type="dxa"/>
            <w:vAlign w:val="bottom"/>
          </w:tcPr>
          <w:p w14:paraId="74FCF0B7"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26AB8D40"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9,1%</w:t>
            </w:r>
          </w:p>
        </w:tc>
        <w:tc>
          <w:tcPr>
            <w:tcW w:w="1559" w:type="dxa"/>
            <w:vAlign w:val="bottom"/>
          </w:tcPr>
          <w:p w14:paraId="1E5691F7"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7,6%</w:t>
            </w:r>
          </w:p>
        </w:tc>
      </w:tr>
      <w:tr w:rsidR="00EE22B1" w14:paraId="6CF2906B"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490AE323"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Tarragona</w:t>
            </w:r>
          </w:p>
        </w:tc>
        <w:tc>
          <w:tcPr>
            <w:tcW w:w="2976" w:type="dxa"/>
            <w:vAlign w:val="bottom"/>
          </w:tcPr>
          <w:p w14:paraId="41B8A4D5"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Reus</w:t>
            </w:r>
          </w:p>
        </w:tc>
        <w:tc>
          <w:tcPr>
            <w:tcW w:w="1560" w:type="dxa"/>
            <w:vAlign w:val="bottom"/>
          </w:tcPr>
          <w:p w14:paraId="63986787"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6,9%</w:t>
            </w:r>
          </w:p>
        </w:tc>
        <w:tc>
          <w:tcPr>
            <w:tcW w:w="1559" w:type="dxa"/>
            <w:vAlign w:val="bottom"/>
          </w:tcPr>
          <w:p w14:paraId="68C89250"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7,3%</w:t>
            </w:r>
          </w:p>
        </w:tc>
        <w:tc>
          <w:tcPr>
            <w:tcW w:w="1559" w:type="dxa"/>
            <w:vAlign w:val="bottom"/>
          </w:tcPr>
          <w:p w14:paraId="71A1F2F5"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7,5%</w:t>
            </w:r>
          </w:p>
        </w:tc>
      </w:tr>
      <w:tr w:rsidR="00EE22B1" w14:paraId="0BEAADF9"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309B5CF9"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lastRenderedPageBreak/>
              <w:t>Barcelona</w:t>
            </w:r>
          </w:p>
        </w:tc>
        <w:tc>
          <w:tcPr>
            <w:tcW w:w="2976" w:type="dxa"/>
            <w:vAlign w:val="bottom"/>
          </w:tcPr>
          <w:p w14:paraId="534A78EC"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Sant Boi de Llobregat</w:t>
            </w:r>
          </w:p>
        </w:tc>
        <w:tc>
          <w:tcPr>
            <w:tcW w:w="1560" w:type="dxa"/>
            <w:vAlign w:val="bottom"/>
          </w:tcPr>
          <w:p w14:paraId="6B0DE5FA"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0F3C8569"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5,3%</w:t>
            </w:r>
          </w:p>
        </w:tc>
        <w:tc>
          <w:tcPr>
            <w:tcW w:w="1559" w:type="dxa"/>
            <w:vAlign w:val="bottom"/>
          </w:tcPr>
          <w:p w14:paraId="1FD6BBAD"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7,5%</w:t>
            </w:r>
          </w:p>
        </w:tc>
      </w:tr>
      <w:tr w:rsidR="00EE22B1" w14:paraId="28747687"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4520DFEE"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Cádiz</w:t>
            </w:r>
          </w:p>
        </w:tc>
        <w:tc>
          <w:tcPr>
            <w:tcW w:w="2976" w:type="dxa"/>
            <w:vAlign w:val="bottom"/>
          </w:tcPr>
          <w:p w14:paraId="193B8953"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Chiclana de la Frontera</w:t>
            </w:r>
          </w:p>
        </w:tc>
        <w:tc>
          <w:tcPr>
            <w:tcW w:w="1560" w:type="dxa"/>
            <w:vAlign w:val="bottom"/>
          </w:tcPr>
          <w:p w14:paraId="1C100328"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2D55CC61"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6,5%</w:t>
            </w:r>
          </w:p>
        </w:tc>
        <w:tc>
          <w:tcPr>
            <w:tcW w:w="1559" w:type="dxa"/>
            <w:vAlign w:val="bottom"/>
          </w:tcPr>
          <w:p w14:paraId="4F8E7D94"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7,4%</w:t>
            </w:r>
          </w:p>
        </w:tc>
      </w:tr>
      <w:tr w:rsidR="00EE22B1" w14:paraId="3A9E43A9"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16F3D1C4"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Murcia</w:t>
            </w:r>
          </w:p>
        </w:tc>
        <w:tc>
          <w:tcPr>
            <w:tcW w:w="2976" w:type="dxa"/>
            <w:vAlign w:val="bottom"/>
          </w:tcPr>
          <w:p w14:paraId="22C312F0"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Molina de Segura</w:t>
            </w:r>
          </w:p>
        </w:tc>
        <w:tc>
          <w:tcPr>
            <w:tcW w:w="1560" w:type="dxa"/>
            <w:vAlign w:val="bottom"/>
          </w:tcPr>
          <w:p w14:paraId="30BA46A6"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75351063"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7,4%</w:t>
            </w:r>
          </w:p>
        </w:tc>
        <w:tc>
          <w:tcPr>
            <w:tcW w:w="1559" w:type="dxa"/>
            <w:vAlign w:val="bottom"/>
          </w:tcPr>
          <w:p w14:paraId="0FC2AE1D"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7,4%</w:t>
            </w:r>
          </w:p>
        </w:tc>
      </w:tr>
      <w:tr w:rsidR="00EE22B1" w14:paraId="1AD12197"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64967BEA"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Valencia</w:t>
            </w:r>
          </w:p>
        </w:tc>
        <w:tc>
          <w:tcPr>
            <w:tcW w:w="2976" w:type="dxa"/>
            <w:vAlign w:val="bottom"/>
          </w:tcPr>
          <w:p w14:paraId="7C1CB1D2"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Ontinyent</w:t>
            </w:r>
          </w:p>
        </w:tc>
        <w:tc>
          <w:tcPr>
            <w:tcW w:w="1560" w:type="dxa"/>
            <w:vAlign w:val="bottom"/>
          </w:tcPr>
          <w:p w14:paraId="73DEC21E"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43C9EA6A"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3432C58A"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7,4%</w:t>
            </w:r>
          </w:p>
        </w:tc>
      </w:tr>
      <w:tr w:rsidR="00EE22B1" w14:paraId="5E3DDA10"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64026B41"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Cádiz</w:t>
            </w:r>
          </w:p>
        </w:tc>
        <w:tc>
          <w:tcPr>
            <w:tcW w:w="2976" w:type="dxa"/>
            <w:vAlign w:val="bottom"/>
          </w:tcPr>
          <w:p w14:paraId="4BD98ECE"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Algeciras</w:t>
            </w:r>
          </w:p>
        </w:tc>
        <w:tc>
          <w:tcPr>
            <w:tcW w:w="1560" w:type="dxa"/>
            <w:vAlign w:val="bottom"/>
          </w:tcPr>
          <w:p w14:paraId="744847C7"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7,4%</w:t>
            </w:r>
          </w:p>
        </w:tc>
        <w:tc>
          <w:tcPr>
            <w:tcW w:w="1559" w:type="dxa"/>
            <w:vAlign w:val="bottom"/>
          </w:tcPr>
          <w:p w14:paraId="13F6A06C"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7,7%</w:t>
            </w:r>
          </w:p>
        </w:tc>
        <w:tc>
          <w:tcPr>
            <w:tcW w:w="1559" w:type="dxa"/>
            <w:vAlign w:val="bottom"/>
          </w:tcPr>
          <w:p w14:paraId="7774FDE9"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7,4%</w:t>
            </w:r>
          </w:p>
        </w:tc>
      </w:tr>
      <w:tr w:rsidR="00EE22B1" w14:paraId="1040DB13"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05E392EC"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Cádiz</w:t>
            </w:r>
          </w:p>
        </w:tc>
        <w:tc>
          <w:tcPr>
            <w:tcW w:w="2976" w:type="dxa"/>
            <w:vAlign w:val="bottom"/>
          </w:tcPr>
          <w:p w14:paraId="06882BEC"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Puerto Real</w:t>
            </w:r>
          </w:p>
        </w:tc>
        <w:tc>
          <w:tcPr>
            <w:tcW w:w="1560" w:type="dxa"/>
            <w:vAlign w:val="bottom"/>
          </w:tcPr>
          <w:p w14:paraId="3109BB73"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5D6905E4"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5,5%</w:t>
            </w:r>
          </w:p>
        </w:tc>
        <w:tc>
          <w:tcPr>
            <w:tcW w:w="1559" w:type="dxa"/>
            <w:vAlign w:val="bottom"/>
          </w:tcPr>
          <w:p w14:paraId="2113D0E0"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7,4%</w:t>
            </w:r>
          </w:p>
        </w:tc>
      </w:tr>
      <w:tr w:rsidR="00EE22B1" w14:paraId="24153E5B"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23211623"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Tarragona</w:t>
            </w:r>
          </w:p>
        </w:tc>
        <w:tc>
          <w:tcPr>
            <w:tcW w:w="2976" w:type="dxa"/>
            <w:vAlign w:val="bottom"/>
          </w:tcPr>
          <w:p w14:paraId="475AF2F6"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Tarragona Capital</w:t>
            </w:r>
          </w:p>
        </w:tc>
        <w:tc>
          <w:tcPr>
            <w:tcW w:w="1560" w:type="dxa"/>
            <w:vAlign w:val="bottom"/>
          </w:tcPr>
          <w:p w14:paraId="0727B4B1"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6,2%</w:t>
            </w:r>
          </w:p>
        </w:tc>
        <w:tc>
          <w:tcPr>
            <w:tcW w:w="1559" w:type="dxa"/>
            <w:vAlign w:val="bottom"/>
          </w:tcPr>
          <w:p w14:paraId="194B9E4E"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7,3%</w:t>
            </w:r>
          </w:p>
        </w:tc>
        <w:tc>
          <w:tcPr>
            <w:tcW w:w="1559" w:type="dxa"/>
            <w:vAlign w:val="bottom"/>
          </w:tcPr>
          <w:p w14:paraId="0504CC10"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7,4%</w:t>
            </w:r>
          </w:p>
        </w:tc>
      </w:tr>
      <w:tr w:rsidR="00EE22B1" w14:paraId="41722F3D"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5E05F9E8"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Barcelona</w:t>
            </w:r>
          </w:p>
        </w:tc>
        <w:tc>
          <w:tcPr>
            <w:tcW w:w="2976" w:type="dxa"/>
            <w:vAlign w:val="bottom"/>
          </w:tcPr>
          <w:p w14:paraId="265112BF"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Mataró</w:t>
            </w:r>
          </w:p>
        </w:tc>
        <w:tc>
          <w:tcPr>
            <w:tcW w:w="1560" w:type="dxa"/>
            <w:vAlign w:val="bottom"/>
          </w:tcPr>
          <w:p w14:paraId="0F48FE95"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7E5B61C2"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7,7%</w:t>
            </w:r>
          </w:p>
        </w:tc>
        <w:tc>
          <w:tcPr>
            <w:tcW w:w="1559" w:type="dxa"/>
            <w:vAlign w:val="bottom"/>
          </w:tcPr>
          <w:p w14:paraId="12C24232"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7,3%</w:t>
            </w:r>
          </w:p>
        </w:tc>
      </w:tr>
      <w:tr w:rsidR="00EE22B1" w14:paraId="438692AD"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548AFE0B"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Valencia</w:t>
            </w:r>
          </w:p>
        </w:tc>
        <w:tc>
          <w:tcPr>
            <w:tcW w:w="2976" w:type="dxa"/>
            <w:vAlign w:val="bottom"/>
          </w:tcPr>
          <w:p w14:paraId="7340BF63"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Gandia</w:t>
            </w:r>
          </w:p>
        </w:tc>
        <w:tc>
          <w:tcPr>
            <w:tcW w:w="1560" w:type="dxa"/>
            <w:vAlign w:val="bottom"/>
          </w:tcPr>
          <w:p w14:paraId="15FB3F8A"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7,9%</w:t>
            </w:r>
          </w:p>
        </w:tc>
        <w:tc>
          <w:tcPr>
            <w:tcW w:w="1559" w:type="dxa"/>
            <w:vAlign w:val="bottom"/>
          </w:tcPr>
          <w:p w14:paraId="62C14D4C"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7,6%</w:t>
            </w:r>
          </w:p>
        </w:tc>
        <w:tc>
          <w:tcPr>
            <w:tcW w:w="1559" w:type="dxa"/>
            <w:vAlign w:val="bottom"/>
          </w:tcPr>
          <w:p w14:paraId="2CBF5758"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7,3%</w:t>
            </w:r>
          </w:p>
        </w:tc>
      </w:tr>
      <w:tr w:rsidR="00EE22B1" w14:paraId="63CEAB14"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1CB5CA2C"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Lugo</w:t>
            </w:r>
          </w:p>
        </w:tc>
        <w:tc>
          <w:tcPr>
            <w:tcW w:w="2976" w:type="dxa"/>
            <w:vAlign w:val="bottom"/>
          </w:tcPr>
          <w:p w14:paraId="0519ACDD"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Barreiros</w:t>
            </w:r>
          </w:p>
        </w:tc>
        <w:tc>
          <w:tcPr>
            <w:tcW w:w="1560" w:type="dxa"/>
            <w:vAlign w:val="bottom"/>
          </w:tcPr>
          <w:p w14:paraId="45095A93"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12E48D66"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65114D48"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7,3%</w:t>
            </w:r>
          </w:p>
        </w:tc>
      </w:tr>
      <w:tr w:rsidR="00EE22B1" w14:paraId="724A8A0E"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0A861C00"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Cantabria</w:t>
            </w:r>
          </w:p>
        </w:tc>
        <w:tc>
          <w:tcPr>
            <w:tcW w:w="2976" w:type="dxa"/>
            <w:vAlign w:val="bottom"/>
          </w:tcPr>
          <w:p w14:paraId="55ECD788"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Santoña</w:t>
            </w:r>
          </w:p>
        </w:tc>
        <w:tc>
          <w:tcPr>
            <w:tcW w:w="1560" w:type="dxa"/>
            <w:vAlign w:val="bottom"/>
          </w:tcPr>
          <w:p w14:paraId="7A156AB3"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22AB3D41"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1E59B391"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7,3%</w:t>
            </w:r>
          </w:p>
        </w:tc>
      </w:tr>
      <w:tr w:rsidR="00EE22B1" w14:paraId="6FC96BAA"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309F26C2"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Valencia</w:t>
            </w:r>
          </w:p>
        </w:tc>
        <w:tc>
          <w:tcPr>
            <w:tcW w:w="2976" w:type="dxa"/>
            <w:vAlign w:val="bottom"/>
          </w:tcPr>
          <w:p w14:paraId="649EBB10"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Oliva</w:t>
            </w:r>
          </w:p>
        </w:tc>
        <w:tc>
          <w:tcPr>
            <w:tcW w:w="1560" w:type="dxa"/>
            <w:vAlign w:val="bottom"/>
          </w:tcPr>
          <w:p w14:paraId="387B45CE"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6C31C660"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5,8%</w:t>
            </w:r>
          </w:p>
        </w:tc>
        <w:tc>
          <w:tcPr>
            <w:tcW w:w="1559" w:type="dxa"/>
            <w:vAlign w:val="bottom"/>
          </w:tcPr>
          <w:p w14:paraId="4C944936"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7,3%</w:t>
            </w:r>
          </w:p>
        </w:tc>
      </w:tr>
      <w:tr w:rsidR="00EE22B1" w14:paraId="3BAA15F3"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1D344ACD"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Valencia</w:t>
            </w:r>
          </w:p>
        </w:tc>
        <w:tc>
          <w:tcPr>
            <w:tcW w:w="2976" w:type="dxa"/>
            <w:vAlign w:val="bottom"/>
          </w:tcPr>
          <w:p w14:paraId="7A265FA1"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Xàtiva</w:t>
            </w:r>
          </w:p>
        </w:tc>
        <w:tc>
          <w:tcPr>
            <w:tcW w:w="1560" w:type="dxa"/>
            <w:vAlign w:val="bottom"/>
          </w:tcPr>
          <w:p w14:paraId="2D2F966E"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15AAC604"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537B48F1"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7,2%</w:t>
            </w:r>
          </w:p>
        </w:tc>
      </w:tr>
      <w:tr w:rsidR="00EE22B1" w14:paraId="23AEC58D"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0718E14C"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Sevilla</w:t>
            </w:r>
          </w:p>
        </w:tc>
        <w:tc>
          <w:tcPr>
            <w:tcW w:w="2976" w:type="dxa"/>
            <w:vAlign w:val="bottom"/>
          </w:tcPr>
          <w:p w14:paraId="6087E82A"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Écija</w:t>
            </w:r>
          </w:p>
        </w:tc>
        <w:tc>
          <w:tcPr>
            <w:tcW w:w="1560" w:type="dxa"/>
            <w:vAlign w:val="bottom"/>
          </w:tcPr>
          <w:p w14:paraId="58E27F01"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042F2AD9"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208B8660"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7,2%</w:t>
            </w:r>
          </w:p>
        </w:tc>
      </w:tr>
      <w:tr w:rsidR="00EE22B1" w14:paraId="442272C0"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02DD804D"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Castellón</w:t>
            </w:r>
          </w:p>
        </w:tc>
        <w:tc>
          <w:tcPr>
            <w:tcW w:w="2976" w:type="dxa"/>
            <w:vAlign w:val="bottom"/>
          </w:tcPr>
          <w:p w14:paraId="068FC7CB"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Benicarló</w:t>
            </w:r>
          </w:p>
        </w:tc>
        <w:tc>
          <w:tcPr>
            <w:tcW w:w="1560" w:type="dxa"/>
            <w:vAlign w:val="bottom"/>
          </w:tcPr>
          <w:p w14:paraId="54F0649B"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25505F13"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175C1F1E"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7,1%</w:t>
            </w:r>
          </w:p>
        </w:tc>
      </w:tr>
      <w:tr w:rsidR="00EE22B1" w14:paraId="0030D9A0"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78991A12"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Badajoz</w:t>
            </w:r>
          </w:p>
        </w:tc>
        <w:tc>
          <w:tcPr>
            <w:tcW w:w="2976" w:type="dxa"/>
            <w:vAlign w:val="bottom"/>
          </w:tcPr>
          <w:p w14:paraId="248A1B14"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Zafra</w:t>
            </w:r>
          </w:p>
        </w:tc>
        <w:tc>
          <w:tcPr>
            <w:tcW w:w="1560" w:type="dxa"/>
            <w:vAlign w:val="bottom"/>
          </w:tcPr>
          <w:p w14:paraId="613D8F87"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11B80FE7"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7,1%</w:t>
            </w:r>
          </w:p>
        </w:tc>
        <w:tc>
          <w:tcPr>
            <w:tcW w:w="1559" w:type="dxa"/>
            <w:vAlign w:val="bottom"/>
          </w:tcPr>
          <w:p w14:paraId="5D46CCEF"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7,1%</w:t>
            </w:r>
          </w:p>
        </w:tc>
      </w:tr>
      <w:tr w:rsidR="00EE22B1" w14:paraId="1D109CDC"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6D1978B5"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Ciudad Real</w:t>
            </w:r>
          </w:p>
        </w:tc>
        <w:tc>
          <w:tcPr>
            <w:tcW w:w="2976" w:type="dxa"/>
            <w:vAlign w:val="bottom"/>
          </w:tcPr>
          <w:p w14:paraId="0538B0B2"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Alcázar de San Juan</w:t>
            </w:r>
          </w:p>
        </w:tc>
        <w:tc>
          <w:tcPr>
            <w:tcW w:w="1560" w:type="dxa"/>
            <w:vAlign w:val="bottom"/>
          </w:tcPr>
          <w:p w14:paraId="6ADF3E9B"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1171A504"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6,4%</w:t>
            </w:r>
          </w:p>
        </w:tc>
        <w:tc>
          <w:tcPr>
            <w:tcW w:w="1559" w:type="dxa"/>
            <w:vAlign w:val="bottom"/>
          </w:tcPr>
          <w:p w14:paraId="4FD442B9"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7,1%</w:t>
            </w:r>
          </w:p>
        </w:tc>
      </w:tr>
      <w:tr w:rsidR="00EE22B1" w14:paraId="3E60EF02"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215E5BBF"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Cádiz</w:t>
            </w:r>
          </w:p>
        </w:tc>
        <w:tc>
          <w:tcPr>
            <w:tcW w:w="2976" w:type="dxa"/>
            <w:vAlign w:val="bottom"/>
          </w:tcPr>
          <w:p w14:paraId="3BF26E3A"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Sanlúcar de Barrameda</w:t>
            </w:r>
          </w:p>
        </w:tc>
        <w:tc>
          <w:tcPr>
            <w:tcW w:w="1560" w:type="dxa"/>
            <w:vAlign w:val="bottom"/>
          </w:tcPr>
          <w:p w14:paraId="5E7B779E"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41A8CC5A"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7,5%</w:t>
            </w:r>
          </w:p>
        </w:tc>
        <w:tc>
          <w:tcPr>
            <w:tcW w:w="1559" w:type="dxa"/>
            <w:vAlign w:val="bottom"/>
          </w:tcPr>
          <w:p w14:paraId="03B47E61"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7,0%</w:t>
            </w:r>
          </w:p>
        </w:tc>
      </w:tr>
      <w:tr w:rsidR="00EE22B1" w14:paraId="6042937E"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27BDFA2B"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Valencia</w:t>
            </w:r>
          </w:p>
        </w:tc>
        <w:tc>
          <w:tcPr>
            <w:tcW w:w="2976" w:type="dxa"/>
            <w:vAlign w:val="bottom"/>
          </w:tcPr>
          <w:p w14:paraId="3E330050"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Xirivella</w:t>
            </w:r>
          </w:p>
        </w:tc>
        <w:tc>
          <w:tcPr>
            <w:tcW w:w="1560" w:type="dxa"/>
            <w:vAlign w:val="bottom"/>
          </w:tcPr>
          <w:p w14:paraId="459FDBD9"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20C1E50E"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497D2007"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7,0%</w:t>
            </w:r>
          </w:p>
        </w:tc>
      </w:tr>
      <w:tr w:rsidR="00EE22B1" w14:paraId="2B9B22D9"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752138A3"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Las Palmas</w:t>
            </w:r>
          </w:p>
        </w:tc>
        <w:tc>
          <w:tcPr>
            <w:tcW w:w="2976" w:type="dxa"/>
            <w:vAlign w:val="bottom"/>
          </w:tcPr>
          <w:p w14:paraId="1686CCB0"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Santa Lucía de Tirajana</w:t>
            </w:r>
          </w:p>
        </w:tc>
        <w:tc>
          <w:tcPr>
            <w:tcW w:w="1560" w:type="dxa"/>
            <w:vAlign w:val="bottom"/>
          </w:tcPr>
          <w:p w14:paraId="4C673EFF"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7,6%</w:t>
            </w:r>
          </w:p>
        </w:tc>
        <w:tc>
          <w:tcPr>
            <w:tcW w:w="1559" w:type="dxa"/>
            <w:vAlign w:val="bottom"/>
          </w:tcPr>
          <w:p w14:paraId="2FE8AC48"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0C26125D"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7,0%</w:t>
            </w:r>
          </w:p>
        </w:tc>
      </w:tr>
      <w:tr w:rsidR="00EE22B1" w14:paraId="1CE42EBA"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7994A6FC"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A Coruña</w:t>
            </w:r>
          </w:p>
        </w:tc>
        <w:tc>
          <w:tcPr>
            <w:tcW w:w="2976" w:type="dxa"/>
            <w:vAlign w:val="bottom"/>
          </w:tcPr>
          <w:p w14:paraId="56D70EAD"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Ribeira</w:t>
            </w:r>
          </w:p>
        </w:tc>
        <w:tc>
          <w:tcPr>
            <w:tcW w:w="1560" w:type="dxa"/>
            <w:vAlign w:val="bottom"/>
          </w:tcPr>
          <w:p w14:paraId="135AE9E1"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21CB06DA"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8,7%</w:t>
            </w:r>
          </w:p>
        </w:tc>
        <w:tc>
          <w:tcPr>
            <w:tcW w:w="1559" w:type="dxa"/>
            <w:vAlign w:val="bottom"/>
          </w:tcPr>
          <w:p w14:paraId="04D28FD2"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7,0%</w:t>
            </w:r>
          </w:p>
        </w:tc>
      </w:tr>
      <w:tr w:rsidR="00EE22B1" w14:paraId="60103495"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78E15B53"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Valencia</w:t>
            </w:r>
          </w:p>
        </w:tc>
        <w:tc>
          <w:tcPr>
            <w:tcW w:w="2976" w:type="dxa"/>
            <w:vAlign w:val="bottom"/>
          </w:tcPr>
          <w:p w14:paraId="78798379"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Alzira</w:t>
            </w:r>
          </w:p>
        </w:tc>
        <w:tc>
          <w:tcPr>
            <w:tcW w:w="1560" w:type="dxa"/>
            <w:vAlign w:val="bottom"/>
          </w:tcPr>
          <w:p w14:paraId="68B5B0C4"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1D4B3A21"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6A01BF2E"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6,9%</w:t>
            </w:r>
          </w:p>
        </w:tc>
      </w:tr>
      <w:tr w:rsidR="00EE22B1" w14:paraId="11808640"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68BE0F0B"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Segovia</w:t>
            </w:r>
          </w:p>
        </w:tc>
        <w:tc>
          <w:tcPr>
            <w:tcW w:w="2976" w:type="dxa"/>
            <w:vAlign w:val="bottom"/>
          </w:tcPr>
          <w:p w14:paraId="5E540DCF"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Segovia Capital</w:t>
            </w:r>
          </w:p>
        </w:tc>
        <w:tc>
          <w:tcPr>
            <w:tcW w:w="1560" w:type="dxa"/>
            <w:vAlign w:val="bottom"/>
          </w:tcPr>
          <w:p w14:paraId="59A29EDB"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5,7%</w:t>
            </w:r>
          </w:p>
        </w:tc>
        <w:tc>
          <w:tcPr>
            <w:tcW w:w="1559" w:type="dxa"/>
            <w:vAlign w:val="bottom"/>
          </w:tcPr>
          <w:p w14:paraId="4EB51D89"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7,0%</w:t>
            </w:r>
          </w:p>
        </w:tc>
        <w:tc>
          <w:tcPr>
            <w:tcW w:w="1559" w:type="dxa"/>
            <w:vAlign w:val="bottom"/>
          </w:tcPr>
          <w:p w14:paraId="153AF2C7"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6,9%</w:t>
            </w:r>
          </w:p>
        </w:tc>
      </w:tr>
      <w:tr w:rsidR="00EE22B1" w14:paraId="05D830D3"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0AAB0372"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Tarragona</w:t>
            </w:r>
          </w:p>
        </w:tc>
        <w:tc>
          <w:tcPr>
            <w:tcW w:w="2976" w:type="dxa"/>
            <w:vAlign w:val="bottom"/>
          </w:tcPr>
          <w:p w14:paraId="5DAFD6BF"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Cambrils</w:t>
            </w:r>
          </w:p>
        </w:tc>
        <w:tc>
          <w:tcPr>
            <w:tcW w:w="1560" w:type="dxa"/>
            <w:vAlign w:val="bottom"/>
          </w:tcPr>
          <w:p w14:paraId="3DCE4F47"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2EC4343B"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38148251"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6,9%</w:t>
            </w:r>
          </w:p>
        </w:tc>
      </w:tr>
      <w:tr w:rsidR="00EE22B1" w14:paraId="78360078"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51D5C87F"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Valencia</w:t>
            </w:r>
          </w:p>
        </w:tc>
        <w:tc>
          <w:tcPr>
            <w:tcW w:w="2976" w:type="dxa"/>
            <w:vAlign w:val="bottom"/>
          </w:tcPr>
          <w:p w14:paraId="117992AC"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Burjassot</w:t>
            </w:r>
          </w:p>
        </w:tc>
        <w:tc>
          <w:tcPr>
            <w:tcW w:w="1560" w:type="dxa"/>
            <w:vAlign w:val="bottom"/>
          </w:tcPr>
          <w:p w14:paraId="7FFC7E7D"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148D6F7C"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7,6%</w:t>
            </w:r>
          </w:p>
        </w:tc>
        <w:tc>
          <w:tcPr>
            <w:tcW w:w="1559" w:type="dxa"/>
            <w:vAlign w:val="bottom"/>
          </w:tcPr>
          <w:p w14:paraId="10FA9515"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6,9%</w:t>
            </w:r>
          </w:p>
        </w:tc>
      </w:tr>
      <w:tr w:rsidR="00EE22B1" w14:paraId="1CDA0962"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4ABD047D"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Madrid</w:t>
            </w:r>
          </w:p>
        </w:tc>
        <w:tc>
          <w:tcPr>
            <w:tcW w:w="2976" w:type="dxa"/>
            <w:vAlign w:val="bottom"/>
          </w:tcPr>
          <w:p w14:paraId="506203DB"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Valdemoro</w:t>
            </w:r>
          </w:p>
        </w:tc>
        <w:tc>
          <w:tcPr>
            <w:tcW w:w="1560" w:type="dxa"/>
            <w:vAlign w:val="bottom"/>
          </w:tcPr>
          <w:p w14:paraId="5B3AB73B"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769447FE"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319ADB41"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6,8%</w:t>
            </w:r>
          </w:p>
        </w:tc>
      </w:tr>
      <w:tr w:rsidR="00EE22B1" w14:paraId="1E7C1DD9"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73A6B3FD"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Huelva</w:t>
            </w:r>
          </w:p>
        </w:tc>
        <w:tc>
          <w:tcPr>
            <w:tcW w:w="2976" w:type="dxa"/>
            <w:vAlign w:val="bottom"/>
          </w:tcPr>
          <w:p w14:paraId="5D53E460"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Almonte</w:t>
            </w:r>
          </w:p>
        </w:tc>
        <w:tc>
          <w:tcPr>
            <w:tcW w:w="1560" w:type="dxa"/>
            <w:vAlign w:val="bottom"/>
          </w:tcPr>
          <w:p w14:paraId="766D0D44"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50A2D41A"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7,5%</w:t>
            </w:r>
          </w:p>
        </w:tc>
        <w:tc>
          <w:tcPr>
            <w:tcW w:w="1559" w:type="dxa"/>
            <w:vAlign w:val="bottom"/>
          </w:tcPr>
          <w:p w14:paraId="11AFC097"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6,8%</w:t>
            </w:r>
          </w:p>
        </w:tc>
      </w:tr>
      <w:tr w:rsidR="00EE22B1" w14:paraId="51EA6829"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1A91E221"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Valencia</w:t>
            </w:r>
          </w:p>
        </w:tc>
        <w:tc>
          <w:tcPr>
            <w:tcW w:w="2976" w:type="dxa"/>
            <w:vAlign w:val="bottom"/>
          </w:tcPr>
          <w:p w14:paraId="699CCCB9"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Paterna</w:t>
            </w:r>
          </w:p>
        </w:tc>
        <w:tc>
          <w:tcPr>
            <w:tcW w:w="1560" w:type="dxa"/>
            <w:vAlign w:val="bottom"/>
          </w:tcPr>
          <w:p w14:paraId="3F66D303"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66B9F2F4"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7,1%</w:t>
            </w:r>
          </w:p>
        </w:tc>
        <w:tc>
          <w:tcPr>
            <w:tcW w:w="1559" w:type="dxa"/>
            <w:vAlign w:val="bottom"/>
          </w:tcPr>
          <w:p w14:paraId="06AA64D1"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6,8%</w:t>
            </w:r>
          </w:p>
        </w:tc>
      </w:tr>
      <w:tr w:rsidR="00EE22B1" w14:paraId="51D451CE"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28AADC9D"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Tarragona</w:t>
            </w:r>
          </w:p>
        </w:tc>
        <w:tc>
          <w:tcPr>
            <w:tcW w:w="2976" w:type="dxa"/>
            <w:vAlign w:val="bottom"/>
          </w:tcPr>
          <w:p w14:paraId="3DDE4635"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Salou</w:t>
            </w:r>
          </w:p>
        </w:tc>
        <w:tc>
          <w:tcPr>
            <w:tcW w:w="1560" w:type="dxa"/>
            <w:vAlign w:val="bottom"/>
          </w:tcPr>
          <w:p w14:paraId="13382A8F"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6CC5787A"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5,8%</w:t>
            </w:r>
          </w:p>
        </w:tc>
        <w:tc>
          <w:tcPr>
            <w:tcW w:w="1559" w:type="dxa"/>
            <w:vAlign w:val="bottom"/>
          </w:tcPr>
          <w:p w14:paraId="6EABD9ED"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6,8%</w:t>
            </w:r>
          </w:p>
        </w:tc>
      </w:tr>
      <w:tr w:rsidR="00EE22B1" w14:paraId="276A843A"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59533DA7"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A Coruña</w:t>
            </w:r>
          </w:p>
        </w:tc>
        <w:tc>
          <w:tcPr>
            <w:tcW w:w="2976" w:type="dxa"/>
            <w:vAlign w:val="bottom"/>
          </w:tcPr>
          <w:p w14:paraId="69710622"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Ferrol</w:t>
            </w:r>
          </w:p>
        </w:tc>
        <w:tc>
          <w:tcPr>
            <w:tcW w:w="1560" w:type="dxa"/>
            <w:vAlign w:val="bottom"/>
          </w:tcPr>
          <w:p w14:paraId="300537B8"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6,2%</w:t>
            </w:r>
          </w:p>
        </w:tc>
        <w:tc>
          <w:tcPr>
            <w:tcW w:w="1559" w:type="dxa"/>
            <w:vAlign w:val="bottom"/>
          </w:tcPr>
          <w:p w14:paraId="533760DD"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8,7%</w:t>
            </w:r>
          </w:p>
        </w:tc>
        <w:tc>
          <w:tcPr>
            <w:tcW w:w="1559" w:type="dxa"/>
            <w:vAlign w:val="bottom"/>
          </w:tcPr>
          <w:p w14:paraId="0E8BE205"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6,7%</w:t>
            </w:r>
          </w:p>
        </w:tc>
      </w:tr>
      <w:tr w:rsidR="00EE22B1" w14:paraId="172FF1E2"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3C5F7791"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Huelva</w:t>
            </w:r>
          </w:p>
        </w:tc>
        <w:tc>
          <w:tcPr>
            <w:tcW w:w="2976" w:type="dxa"/>
            <w:vAlign w:val="bottom"/>
          </w:tcPr>
          <w:p w14:paraId="357ACEFE"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Ayamonte</w:t>
            </w:r>
          </w:p>
        </w:tc>
        <w:tc>
          <w:tcPr>
            <w:tcW w:w="1560" w:type="dxa"/>
            <w:vAlign w:val="bottom"/>
          </w:tcPr>
          <w:p w14:paraId="4363AD88"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62050A47"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4,9%</w:t>
            </w:r>
          </w:p>
        </w:tc>
        <w:tc>
          <w:tcPr>
            <w:tcW w:w="1559" w:type="dxa"/>
            <w:vAlign w:val="bottom"/>
          </w:tcPr>
          <w:p w14:paraId="766837C2"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6,7%</w:t>
            </w:r>
          </w:p>
        </w:tc>
      </w:tr>
      <w:tr w:rsidR="00EE22B1" w14:paraId="5EF544EF"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255F2DDD"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Castellón</w:t>
            </w:r>
          </w:p>
        </w:tc>
        <w:tc>
          <w:tcPr>
            <w:tcW w:w="2976" w:type="dxa"/>
            <w:vAlign w:val="bottom"/>
          </w:tcPr>
          <w:p w14:paraId="4F6F4B0E"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Burriana / Borriana</w:t>
            </w:r>
          </w:p>
        </w:tc>
        <w:tc>
          <w:tcPr>
            <w:tcW w:w="1560" w:type="dxa"/>
            <w:vAlign w:val="bottom"/>
          </w:tcPr>
          <w:p w14:paraId="7B9F34C5"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25B85DDB"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2CF570CD"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6,7%</w:t>
            </w:r>
          </w:p>
        </w:tc>
      </w:tr>
      <w:tr w:rsidR="00EE22B1" w14:paraId="7D7EC3E5"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02626436"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Ávila</w:t>
            </w:r>
          </w:p>
        </w:tc>
        <w:tc>
          <w:tcPr>
            <w:tcW w:w="2976" w:type="dxa"/>
            <w:vAlign w:val="bottom"/>
          </w:tcPr>
          <w:p w14:paraId="13AB27DD"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Ávila Capital</w:t>
            </w:r>
          </w:p>
        </w:tc>
        <w:tc>
          <w:tcPr>
            <w:tcW w:w="1560" w:type="dxa"/>
            <w:vAlign w:val="bottom"/>
          </w:tcPr>
          <w:p w14:paraId="2824FE43"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6,4%</w:t>
            </w:r>
          </w:p>
        </w:tc>
        <w:tc>
          <w:tcPr>
            <w:tcW w:w="1559" w:type="dxa"/>
            <w:vAlign w:val="bottom"/>
          </w:tcPr>
          <w:p w14:paraId="2E3B2AEE"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7,6%</w:t>
            </w:r>
          </w:p>
        </w:tc>
        <w:tc>
          <w:tcPr>
            <w:tcW w:w="1559" w:type="dxa"/>
            <w:vAlign w:val="bottom"/>
          </w:tcPr>
          <w:p w14:paraId="2EEAB717"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6,7%</w:t>
            </w:r>
          </w:p>
        </w:tc>
      </w:tr>
      <w:tr w:rsidR="00EE22B1" w14:paraId="6828C094"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032E2088"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Las Palmas</w:t>
            </w:r>
          </w:p>
        </w:tc>
        <w:tc>
          <w:tcPr>
            <w:tcW w:w="2976" w:type="dxa"/>
            <w:vAlign w:val="bottom"/>
          </w:tcPr>
          <w:p w14:paraId="1BA2AA18"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La Oliva</w:t>
            </w:r>
          </w:p>
        </w:tc>
        <w:tc>
          <w:tcPr>
            <w:tcW w:w="1560" w:type="dxa"/>
            <w:vAlign w:val="bottom"/>
          </w:tcPr>
          <w:p w14:paraId="4A642666"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7F21F310"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5476AF1D"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6,7%</w:t>
            </w:r>
          </w:p>
        </w:tc>
      </w:tr>
      <w:tr w:rsidR="00EE22B1" w14:paraId="412894F0"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7E70CDD2"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Barcelona</w:t>
            </w:r>
          </w:p>
        </w:tc>
        <w:tc>
          <w:tcPr>
            <w:tcW w:w="2976" w:type="dxa"/>
            <w:vAlign w:val="bottom"/>
          </w:tcPr>
          <w:p w14:paraId="4894EC3F"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Esplugues de Llobregat</w:t>
            </w:r>
          </w:p>
        </w:tc>
        <w:tc>
          <w:tcPr>
            <w:tcW w:w="1560" w:type="dxa"/>
            <w:vAlign w:val="bottom"/>
          </w:tcPr>
          <w:p w14:paraId="14380993"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44D41A54"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6,6%</w:t>
            </w:r>
          </w:p>
        </w:tc>
        <w:tc>
          <w:tcPr>
            <w:tcW w:w="1559" w:type="dxa"/>
            <w:vAlign w:val="bottom"/>
          </w:tcPr>
          <w:p w14:paraId="1802DEC3"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6,7%</w:t>
            </w:r>
          </w:p>
        </w:tc>
      </w:tr>
      <w:tr w:rsidR="00EE22B1" w14:paraId="6396678F"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4CE69A92"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Castellón</w:t>
            </w:r>
          </w:p>
        </w:tc>
        <w:tc>
          <w:tcPr>
            <w:tcW w:w="2976" w:type="dxa"/>
            <w:vAlign w:val="bottom"/>
          </w:tcPr>
          <w:p w14:paraId="45C4B5A5"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Moncofa</w:t>
            </w:r>
          </w:p>
        </w:tc>
        <w:tc>
          <w:tcPr>
            <w:tcW w:w="1560" w:type="dxa"/>
            <w:vAlign w:val="bottom"/>
          </w:tcPr>
          <w:p w14:paraId="26795648"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17EFCBBF"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65680BB7"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6,7%</w:t>
            </w:r>
          </w:p>
        </w:tc>
      </w:tr>
      <w:tr w:rsidR="00EE22B1" w14:paraId="117773D8"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1C0FD15D"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Valencia</w:t>
            </w:r>
          </w:p>
        </w:tc>
        <w:tc>
          <w:tcPr>
            <w:tcW w:w="2976" w:type="dxa"/>
            <w:vAlign w:val="bottom"/>
          </w:tcPr>
          <w:p w14:paraId="25DF8C4B"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Mislata</w:t>
            </w:r>
          </w:p>
        </w:tc>
        <w:tc>
          <w:tcPr>
            <w:tcW w:w="1560" w:type="dxa"/>
            <w:vAlign w:val="bottom"/>
          </w:tcPr>
          <w:p w14:paraId="0C15D2DF"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3C475C46"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18ABCA2A"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6,7%</w:t>
            </w:r>
          </w:p>
        </w:tc>
      </w:tr>
      <w:tr w:rsidR="00EE22B1" w14:paraId="0A6BA1FF"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2EA3DCFE"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Barcelona</w:t>
            </w:r>
          </w:p>
        </w:tc>
        <w:tc>
          <w:tcPr>
            <w:tcW w:w="2976" w:type="dxa"/>
            <w:vAlign w:val="bottom"/>
          </w:tcPr>
          <w:p w14:paraId="5F61C69A"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L'Hospitalet de Llobregat</w:t>
            </w:r>
          </w:p>
        </w:tc>
        <w:tc>
          <w:tcPr>
            <w:tcW w:w="1560" w:type="dxa"/>
            <w:vAlign w:val="bottom"/>
          </w:tcPr>
          <w:p w14:paraId="450CE2FA"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6,4%</w:t>
            </w:r>
          </w:p>
        </w:tc>
        <w:tc>
          <w:tcPr>
            <w:tcW w:w="1559" w:type="dxa"/>
            <w:vAlign w:val="bottom"/>
          </w:tcPr>
          <w:p w14:paraId="1A6C7347"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8,8%</w:t>
            </w:r>
          </w:p>
        </w:tc>
        <w:tc>
          <w:tcPr>
            <w:tcW w:w="1559" w:type="dxa"/>
            <w:vAlign w:val="bottom"/>
          </w:tcPr>
          <w:p w14:paraId="4D8F3832"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6,7%</w:t>
            </w:r>
          </w:p>
        </w:tc>
      </w:tr>
      <w:tr w:rsidR="00EE22B1" w14:paraId="03B4AB77"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5E326038"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Cádiz</w:t>
            </w:r>
          </w:p>
        </w:tc>
        <w:tc>
          <w:tcPr>
            <w:tcW w:w="2976" w:type="dxa"/>
            <w:vAlign w:val="bottom"/>
          </w:tcPr>
          <w:p w14:paraId="4DA2211B"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Jerez de la Frontera</w:t>
            </w:r>
          </w:p>
        </w:tc>
        <w:tc>
          <w:tcPr>
            <w:tcW w:w="1560" w:type="dxa"/>
            <w:vAlign w:val="bottom"/>
          </w:tcPr>
          <w:p w14:paraId="5FDCDDB3"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7,0%</w:t>
            </w:r>
          </w:p>
        </w:tc>
        <w:tc>
          <w:tcPr>
            <w:tcW w:w="1559" w:type="dxa"/>
            <w:vAlign w:val="bottom"/>
          </w:tcPr>
          <w:p w14:paraId="37321483"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7,1%</w:t>
            </w:r>
          </w:p>
        </w:tc>
        <w:tc>
          <w:tcPr>
            <w:tcW w:w="1559" w:type="dxa"/>
            <w:vAlign w:val="bottom"/>
          </w:tcPr>
          <w:p w14:paraId="1749C26E"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6,7%</w:t>
            </w:r>
          </w:p>
        </w:tc>
      </w:tr>
      <w:tr w:rsidR="00EE22B1" w14:paraId="1482D86E"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45229BDE"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Barcelona</w:t>
            </w:r>
          </w:p>
        </w:tc>
        <w:tc>
          <w:tcPr>
            <w:tcW w:w="2976" w:type="dxa"/>
            <w:vAlign w:val="bottom"/>
          </w:tcPr>
          <w:p w14:paraId="5BC270DC"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Sabadell</w:t>
            </w:r>
          </w:p>
        </w:tc>
        <w:tc>
          <w:tcPr>
            <w:tcW w:w="1560" w:type="dxa"/>
            <w:vAlign w:val="bottom"/>
          </w:tcPr>
          <w:p w14:paraId="4D708043"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5,9%</w:t>
            </w:r>
          </w:p>
        </w:tc>
        <w:tc>
          <w:tcPr>
            <w:tcW w:w="1559" w:type="dxa"/>
            <w:vAlign w:val="bottom"/>
          </w:tcPr>
          <w:p w14:paraId="6FF56A18"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5,9%</w:t>
            </w:r>
          </w:p>
        </w:tc>
        <w:tc>
          <w:tcPr>
            <w:tcW w:w="1559" w:type="dxa"/>
            <w:vAlign w:val="bottom"/>
          </w:tcPr>
          <w:p w14:paraId="34F4202B"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6,6%</w:t>
            </w:r>
          </w:p>
        </w:tc>
      </w:tr>
      <w:tr w:rsidR="00EE22B1" w14:paraId="4CEF8FBD"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7AB5C062"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Toledo</w:t>
            </w:r>
          </w:p>
        </w:tc>
        <w:tc>
          <w:tcPr>
            <w:tcW w:w="2976" w:type="dxa"/>
            <w:vAlign w:val="bottom"/>
          </w:tcPr>
          <w:p w14:paraId="29A27A4C"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Toledo Capital</w:t>
            </w:r>
          </w:p>
        </w:tc>
        <w:tc>
          <w:tcPr>
            <w:tcW w:w="1560" w:type="dxa"/>
            <w:vAlign w:val="bottom"/>
          </w:tcPr>
          <w:p w14:paraId="593A717A"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6,2%</w:t>
            </w:r>
          </w:p>
        </w:tc>
        <w:tc>
          <w:tcPr>
            <w:tcW w:w="1559" w:type="dxa"/>
            <w:vAlign w:val="bottom"/>
          </w:tcPr>
          <w:p w14:paraId="3220342E"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7,2%</w:t>
            </w:r>
          </w:p>
        </w:tc>
        <w:tc>
          <w:tcPr>
            <w:tcW w:w="1559" w:type="dxa"/>
            <w:vAlign w:val="bottom"/>
          </w:tcPr>
          <w:p w14:paraId="187EA0E7"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6,6%</w:t>
            </w:r>
          </w:p>
        </w:tc>
      </w:tr>
      <w:tr w:rsidR="00EE22B1" w14:paraId="58A429AA"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1D6A2CFD"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Badajoz</w:t>
            </w:r>
          </w:p>
        </w:tc>
        <w:tc>
          <w:tcPr>
            <w:tcW w:w="2976" w:type="dxa"/>
            <w:vAlign w:val="bottom"/>
          </w:tcPr>
          <w:p w14:paraId="0D4CABE6"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Mérida</w:t>
            </w:r>
          </w:p>
        </w:tc>
        <w:tc>
          <w:tcPr>
            <w:tcW w:w="1560" w:type="dxa"/>
            <w:vAlign w:val="bottom"/>
          </w:tcPr>
          <w:p w14:paraId="516B3CB1"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7,0%</w:t>
            </w:r>
          </w:p>
        </w:tc>
        <w:tc>
          <w:tcPr>
            <w:tcW w:w="1559" w:type="dxa"/>
            <w:vAlign w:val="bottom"/>
          </w:tcPr>
          <w:p w14:paraId="1A043D9A"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7,0%</w:t>
            </w:r>
          </w:p>
        </w:tc>
        <w:tc>
          <w:tcPr>
            <w:tcW w:w="1559" w:type="dxa"/>
            <w:vAlign w:val="bottom"/>
          </w:tcPr>
          <w:p w14:paraId="2FBBF49E"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6,6%</w:t>
            </w:r>
          </w:p>
        </w:tc>
      </w:tr>
      <w:tr w:rsidR="00EE22B1" w14:paraId="30FA0DF6"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2CDF378D"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Zaragoza</w:t>
            </w:r>
          </w:p>
        </w:tc>
        <w:tc>
          <w:tcPr>
            <w:tcW w:w="2976" w:type="dxa"/>
            <w:vAlign w:val="bottom"/>
          </w:tcPr>
          <w:p w14:paraId="0A62D911"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Zaragoza Capital</w:t>
            </w:r>
          </w:p>
        </w:tc>
        <w:tc>
          <w:tcPr>
            <w:tcW w:w="1560" w:type="dxa"/>
            <w:vAlign w:val="bottom"/>
          </w:tcPr>
          <w:p w14:paraId="0D2E2789"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5,8%</w:t>
            </w:r>
          </w:p>
        </w:tc>
        <w:tc>
          <w:tcPr>
            <w:tcW w:w="1559" w:type="dxa"/>
            <w:vAlign w:val="bottom"/>
          </w:tcPr>
          <w:p w14:paraId="3EAF7BC0"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6,0%</w:t>
            </w:r>
          </w:p>
        </w:tc>
        <w:tc>
          <w:tcPr>
            <w:tcW w:w="1559" w:type="dxa"/>
            <w:vAlign w:val="bottom"/>
          </w:tcPr>
          <w:p w14:paraId="6D2B4B71"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6,5%</w:t>
            </w:r>
          </w:p>
        </w:tc>
      </w:tr>
      <w:tr w:rsidR="00EE22B1" w14:paraId="55ABDA05"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03F65D07"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Madrid</w:t>
            </w:r>
          </w:p>
        </w:tc>
        <w:tc>
          <w:tcPr>
            <w:tcW w:w="2976" w:type="dxa"/>
            <w:vAlign w:val="bottom"/>
          </w:tcPr>
          <w:p w14:paraId="1D5B9409"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Getafe</w:t>
            </w:r>
          </w:p>
        </w:tc>
        <w:tc>
          <w:tcPr>
            <w:tcW w:w="1560" w:type="dxa"/>
            <w:vAlign w:val="bottom"/>
          </w:tcPr>
          <w:p w14:paraId="5D4AE37A"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5,4%</w:t>
            </w:r>
          </w:p>
        </w:tc>
        <w:tc>
          <w:tcPr>
            <w:tcW w:w="1559" w:type="dxa"/>
            <w:vAlign w:val="bottom"/>
          </w:tcPr>
          <w:p w14:paraId="1D05A0BB"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6,8%</w:t>
            </w:r>
          </w:p>
        </w:tc>
        <w:tc>
          <w:tcPr>
            <w:tcW w:w="1559" w:type="dxa"/>
            <w:vAlign w:val="bottom"/>
          </w:tcPr>
          <w:p w14:paraId="7BF3DE80"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6,5%</w:t>
            </w:r>
          </w:p>
        </w:tc>
      </w:tr>
      <w:tr w:rsidR="00EE22B1" w14:paraId="4B7EDE9A"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3CD7E608"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Cáceres</w:t>
            </w:r>
          </w:p>
        </w:tc>
        <w:tc>
          <w:tcPr>
            <w:tcW w:w="2976" w:type="dxa"/>
            <w:vAlign w:val="bottom"/>
          </w:tcPr>
          <w:p w14:paraId="41A0902E"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Plasencia</w:t>
            </w:r>
          </w:p>
        </w:tc>
        <w:tc>
          <w:tcPr>
            <w:tcW w:w="1560" w:type="dxa"/>
            <w:vAlign w:val="bottom"/>
          </w:tcPr>
          <w:p w14:paraId="47C8154B"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61E5BD41"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6,6%</w:t>
            </w:r>
          </w:p>
        </w:tc>
        <w:tc>
          <w:tcPr>
            <w:tcW w:w="1559" w:type="dxa"/>
            <w:vAlign w:val="bottom"/>
          </w:tcPr>
          <w:p w14:paraId="459A4CBE"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6,5%</w:t>
            </w:r>
          </w:p>
        </w:tc>
      </w:tr>
      <w:tr w:rsidR="00EE22B1" w14:paraId="0D860A50"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5D2EA205"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lastRenderedPageBreak/>
              <w:t>Badajoz</w:t>
            </w:r>
          </w:p>
        </w:tc>
        <w:tc>
          <w:tcPr>
            <w:tcW w:w="2976" w:type="dxa"/>
            <w:vAlign w:val="bottom"/>
          </w:tcPr>
          <w:p w14:paraId="610A7F1E"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Don Benito</w:t>
            </w:r>
          </w:p>
        </w:tc>
        <w:tc>
          <w:tcPr>
            <w:tcW w:w="1560" w:type="dxa"/>
            <w:vAlign w:val="bottom"/>
          </w:tcPr>
          <w:p w14:paraId="6ABB91EA"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38D9AD0D"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8,0%</w:t>
            </w:r>
          </w:p>
        </w:tc>
        <w:tc>
          <w:tcPr>
            <w:tcW w:w="1559" w:type="dxa"/>
            <w:vAlign w:val="bottom"/>
          </w:tcPr>
          <w:p w14:paraId="11D0ACE8"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6,5%</w:t>
            </w:r>
          </w:p>
        </w:tc>
      </w:tr>
      <w:tr w:rsidR="00EE22B1" w14:paraId="472564AF"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6A466438"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Alicante</w:t>
            </w:r>
          </w:p>
        </w:tc>
        <w:tc>
          <w:tcPr>
            <w:tcW w:w="2976" w:type="dxa"/>
            <w:vAlign w:val="bottom"/>
          </w:tcPr>
          <w:p w14:paraId="297FAB49"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Alcoy / Alcoi</w:t>
            </w:r>
          </w:p>
        </w:tc>
        <w:tc>
          <w:tcPr>
            <w:tcW w:w="1560" w:type="dxa"/>
            <w:vAlign w:val="bottom"/>
          </w:tcPr>
          <w:p w14:paraId="21DADB6D"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6,7%</w:t>
            </w:r>
          </w:p>
        </w:tc>
        <w:tc>
          <w:tcPr>
            <w:tcW w:w="1559" w:type="dxa"/>
            <w:vAlign w:val="bottom"/>
          </w:tcPr>
          <w:p w14:paraId="64209825"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7,2%</w:t>
            </w:r>
          </w:p>
        </w:tc>
        <w:tc>
          <w:tcPr>
            <w:tcW w:w="1559" w:type="dxa"/>
            <w:vAlign w:val="bottom"/>
          </w:tcPr>
          <w:p w14:paraId="5179C272"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6,5%</w:t>
            </w:r>
          </w:p>
        </w:tc>
      </w:tr>
      <w:tr w:rsidR="00EE22B1" w14:paraId="12EA7F51"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00945C2E"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Barcelona</w:t>
            </w:r>
          </w:p>
        </w:tc>
        <w:tc>
          <w:tcPr>
            <w:tcW w:w="2976" w:type="dxa"/>
            <w:vAlign w:val="bottom"/>
          </w:tcPr>
          <w:p w14:paraId="56A0F294"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Vilanova I la Geltrú</w:t>
            </w:r>
          </w:p>
        </w:tc>
        <w:tc>
          <w:tcPr>
            <w:tcW w:w="1560" w:type="dxa"/>
            <w:vAlign w:val="bottom"/>
          </w:tcPr>
          <w:p w14:paraId="7786F580"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0F851DB9"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6,3%</w:t>
            </w:r>
          </w:p>
        </w:tc>
        <w:tc>
          <w:tcPr>
            <w:tcW w:w="1559" w:type="dxa"/>
            <w:vAlign w:val="bottom"/>
          </w:tcPr>
          <w:p w14:paraId="00D1FD2E"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6,5%</w:t>
            </w:r>
          </w:p>
        </w:tc>
      </w:tr>
      <w:tr w:rsidR="00EE22B1" w14:paraId="1E64DD1D"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49230358"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Sevilla</w:t>
            </w:r>
          </w:p>
        </w:tc>
        <w:tc>
          <w:tcPr>
            <w:tcW w:w="2976" w:type="dxa"/>
            <w:vAlign w:val="bottom"/>
          </w:tcPr>
          <w:p w14:paraId="5F441FCB"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Alcalá de Guadaira</w:t>
            </w:r>
          </w:p>
        </w:tc>
        <w:tc>
          <w:tcPr>
            <w:tcW w:w="1560" w:type="dxa"/>
            <w:vAlign w:val="bottom"/>
          </w:tcPr>
          <w:p w14:paraId="5384A894"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7,1%</w:t>
            </w:r>
          </w:p>
        </w:tc>
        <w:tc>
          <w:tcPr>
            <w:tcW w:w="1559" w:type="dxa"/>
            <w:vAlign w:val="bottom"/>
          </w:tcPr>
          <w:p w14:paraId="23441CF2"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071727F7"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6,5%</w:t>
            </w:r>
          </w:p>
        </w:tc>
      </w:tr>
      <w:tr w:rsidR="00EE22B1" w14:paraId="2B7E24EB"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1E8365B9"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Santa Cruz de Tenerife</w:t>
            </w:r>
          </w:p>
        </w:tc>
        <w:tc>
          <w:tcPr>
            <w:tcW w:w="2976" w:type="dxa"/>
            <w:vAlign w:val="bottom"/>
          </w:tcPr>
          <w:p w14:paraId="31E228EC"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San Miguel de Abona</w:t>
            </w:r>
          </w:p>
        </w:tc>
        <w:tc>
          <w:tcPr>
            <w:tcW w:w="1560" w:type="dxa"/>
            <w:vAlign w:val="bottom"/>
          </w:tcPr>
          <w:p w14:paraId="4C48C0D9"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1E1B19E1"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10BC8670"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6,4%</w:t>
            </w:r>
          </w:p>
        </w:tc>
      </w:tr>
      <w:tr w:rsidR="00EE22B1" w14:paraId="258CBB89"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215B27FC"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Madrid</w:t>
            </w:r>
          </w:p>
        </w:tc>
        <w:tc>
          <w:tcPr>
            <w:tcW w:w="2976" w:type="dxa"/>
            <w:vAlign w:val="bottom"/>
          </w:tcPr>
          <w:p w14:paraId="4119B581"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Fuenlabrada</w:t>
            </w:r>
          </w:p>
        </w:tc>
        <w:tc>
          <w:tcPr>
            <w:tcW w:w="1560" w:type="dxa"/>
            <w:vAlign w:val="bottom"/>
          </w:tcPr>
          <w:p w14:paraId="1254F03B"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5,9%</w:t>
            </w:r>
          </w:p>
        </w:tc>
        <w:tc>
          <w:tcPr>
            <w:tcW w:w="1559" w:type="dxa"/>
            <w:vAlign w:val="bottom"/>
          </w:tcPr>
          <w:p w14:paraId="5F90BD28"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7,0%</w:t>
            </w:r>
          </w:p>
        </w:tc>
        <w:tc>
          <w:tcPr>
            <w:tcW w:w="1559" w:type="dxa"/>
            <w:vAlign w:val="bottom"/>
          </w:tcPr>
          <w:p w14:paraId="4EB58A70"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6,4%</w:t>
            </w:r>
          </w:p>
        </w:tc>
      </w:tr>
      <w:tr w:rsidR="00EE22B1" w14:paraId="32A8D6E5"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2303503C"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Córdoba</w:t>
            </w:r>
          </w:p>
        </w:tc>
        <w:tc>
          <w:tcPr>
            <w:tcW w:w="2976" w:type="dxa"/>
            <w:vAlign w:val="bottom"/>
          </w:tcPr>
          <w:p w14:paraId="5129E2FD"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Lucena</w:t>
            </w:r>
          </w:p>
        </w:tc>
        <w:tc>
          <w:tcPr>
            <w:tcW w:w="1560" w:type="dxa"/>
            <w:vAlign w:val="bottom"/>
          </w:tcPr>
          <w:p w14:paraId="4EF5F1E8"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6,5%</w:t>
            </w:r>
          </w:p>
        </w:tc>
        <w:tc>
          <w:tcPr>
            <w:tcW w:w="1559" w:type="dxa"/>
            <w:vAlign w:val="bottom"/>
          </w:tcPr>
          <w:p w14:paraId="4C4E1DA2"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6,6%</w:t>
            </w:r>
          </w:p>
        </w:tc>
        <w:tc>
          <w:tcPr>
            <w:tcW w:w="1559" w:type="dxa"/>
            <w:vAlign w:val="bottom"/>
          </w:tcPr>
          <w:p w14:paraId="6BD3AD36"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6,4%</w:t>
            </w:r>
          </w:p>
        </w:tc>
      </w:tr>
      <w:tr w:rsidR="00EE22B1" w14:paraId="4571BA38"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1248E6C9"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Cantabria</w:t>
            </w:r>
          </w:p>
        </w:tc>
        <w:tc>
          <w:tcPr>
            <w:tcW w:w="2976" w:type="dxa"/>
            <w:vAlign w:val="bottom"/>
          </w:tcPr>
          <w:p w14:paraId="11CA6D76"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Castro-Urdiales</w:t>
            </w:r>
          </w:p>
        </w:tc>
        <w:tc>
          <w:tcPr>
            <w:tcW w:w="1560" w:type="dxa"/>
            <w:vAlign w:val="bottom"/>
          </w:tcPr>
          <w:p w14:paraId="1DD60370"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7,0%</w:t>
            </w:r>
          </w:p>
        </w:tc>
        <w:tc>
          <w:tcPr>
            <w:tcW w:w="1559" w:type="dxa"/>
            <w:vAlign w:val="bottom"/>
          </w:tcPr>
          <w:p w14:paraId="364EA2AD"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6,1%</w:t>
            </w:r>
          </w:p>
        </w:tc>
        <w:tc>
          <w:tcPr>
            <w:tcW w:w="1559" w:type="dxa"/>
            <w:vAlign w:val="bottom"/>
          </w:tcPr>
          <w:p w14:paraId="01C3892A"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6,4%</w:t>
            </w:r>
          </w:p>
        </w:tc>
      </w:tr>
      <w:tr w:rsidR="00EE22B1" w14:paraId="473AD846"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3701C565"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Barcelona</w:t>
            </w:r>
          </w:p>
        </w:tc>
        <w:tc>
          <w:tcPr>
            <w:tcW w:w="2976" w:type="dxa"/>
            <w:vAlign w:val="bottom"/>
          </w:tcPr>
          <w:p w14:paraId="59FE965F"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Granollers</w:t>
            </w:r>
          </w:p>
        </w:tc>
        <w:tc>
          <w:tcPr>
            <w:tcW w:w="1560" w:type="dxa"/>
            <w:vAlign w:val="bottom"/>
          </w:tcPr>
          <w:p w14:paraId="16DB9CD2"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021BE3C2"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5,6%</w:t>
            </w:r>
          </w:p>
        </w:tc>
        <w:tc>
          <w:tcPr>
            <w:tcW w:w="1559" w:type="dxa"/>
            <w:vAlign w:val="bottom"/>
          </w:tcPr>
          <w:p w14:paraId="02FD3730"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6,4%</w:t>
            </w:r>
          </w:p>
        </w:tc>
      </w:tr>
      <w:tr w:rsidR="00EE22B1" w14:paraId="13F28FF3"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3787C9DF"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Valencia</w:t>
            </w:r>
          </w:p>
        </w:tc>
        <w:tc>
          <w:tcPr>
            <w:tcW w:w="2976" w:type="dxa"/>
            <w:vAlign w:val="bottom"/>
          </w:tcPr>
          <w:p w14:paraId="6F58370B"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Cullera</w:t>
            </w:r>
          </w:p>
        </w:tc>
        <w:tc>
          <w:tcPr>
            <w:tcW w:w="1560" w:type="dxa"/>
            <w:vAlign w:val="bottom"/>
          </w:tcPr>
          <w:p w14:paraId="26448254"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2D48A88F"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7,7%</w:t>
            </w:r>
          </w:p>
        </w:tc>
        <w:tc>
          <w:tcPr>
            <w:tcW w:w="1559" w:type="dxa"/>
            <w:vAlign w:val="bottom"/>
          </w:tcPr>
          <w:p w14:paraId="577739D5"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6,4%</w:t>
            </w:r>
          </w:p>
        </w:tc>
      </w:tr>
      <w:tr w:rsidR="00EE22B1" w14:paraId="2E682482"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5B892282"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Almería</w:t>
            </w:r>
          </w:p>
        </w:tc>
        <w:tc>
          <w:tcPr>
            <w:tcW w:w="2976" w:type="dxa"/>
            <w:vAlign w:val="bottom"/>
          </w:tcPr>
          <w:p w14:paraId="36FDCF23"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Roquetas de Mar</w:t>
            </w:r>
          </w:p>
        </w:tc>
        <w:tc>
          <w:tcPr>
            <w:tcW w:w="1560" w:type="dxa"/>
            <w:vAlign w:val="bottom"/>
          </w:tcPr>
          <w:p w14:paraId="4200397F"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7,2%</w:t>
            </w:r>
          </w:p>
        </w:tc>
        <w:tc>
          <w:tcPr>
            <w:tcW w:w="1559" w:type="dxa"/>
            <w:vAlign w:val="bottom"/>
          </w:tcPr>
          <w:p w14:paraId="1DAA976D"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6,8%</w:t>
            </w:r>
          </w:p>
        </w:tc>
        <w:tc>
          <w:tcPr>
            <w:tcW w:w="1559" w:type="dxa"/>
            <w:vAlign w:val="bottom"/>
          </w:tcPr>
          <w:p w14:paraId="348005B8"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6,3%</w:t>
            </w:r>
          </w:p>
        </w:tc>
      </w:tr>
      <w:tr w:rsidR="00EE22B1" w14:paraId="4C60C488"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6C4D5FB2"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Alicante</w:t>
            </w:r>
          </w:p>
        </w:tc>
        <w:tc>
          <w:tcPr>
            <w:tcW w:w="2976" w:type="dxa"/>
            <w:vAlign w:val="bottom"/>
          </w:tcPr>
          <w:p w14:paraId="6F5D3303"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Sant Joan D'Alacant</w:t>
            </w:r>
          </w:p>
        </w:tc>
        <w:tc>
          <w:tcPr>
            <w:tcW w:w="1560" w:type="dxa"/>
            <w:vAlign w:val="bottom"/>
          </w:tcPr>
          <w:p w14:paraId="657AE3F6"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36884788"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5,5%</w:t>
            </w:r>
          </w:p>
        </w:tc>
        <w:tc>
          <w:tcPr>
            <w:tcW w:w="1559" w:type="dxa"/>
            <w:vAlign w:val="bottom"/>
          </w:tcPr>
          <w:p w14:paraId="252D0D37"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6,3%</w:t>
            </w:r>
          </w:p>
        </w:tc>
      </w:tr>
      <w:tr w:rsidR="00EE22B1" w14:paraId="46C0F36C"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37606F2C"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Alicante</w:t>
            </w:r>
          </w:p>
        </w:tc>
        <w:tc>
          <w:tcPr>
            <w:tcW w:w="2976" w:type="dxa"/>
            <w:vAlign w:val="bottom"/>
          </w:tcPr>
          <w:p w14:paraId="0995B5B1"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Elche / Elx</w:t>
            </w:r>
          </w:p>
        </w:tc>
        <w:tc>
          <w:tcPr>
            <w:tcW w:w="1560" w:type="dxa"/>
            <w:vAlign w:val="bottom"/>
          </w:tcPr>
          <w:p w14:paraId="4F67FE73"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6,0%</w:t>
            </w:r>
          </w:p>
        </w:tc>
        <w:tc>
          <w:tcPr>
            <w:tcW w:w="1559" w:type="dxa"/>
            <w:vAlign w:val="bottom"/>
          </w:tcPr>
          <w:p w14:paraId="63994FA0"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6,3%</w:t>
            </w:r>
          </w:p>
        </w:tc>
        <w:tc>
          <w:tcPr>
            <w:tcW w:w="1559" w:type="dxa"/>
            <w:vAlign w:val="bottom"/>
          </w:tcPr>
          <w:p w14:paraId="0B90A2C4"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6,3%</w:t>
            </w:r>
          </w:p>
        </w:tc>
      </w:tr>
      <w:tr w:rsidR="00EE22B1" w14:paraId="3BF56358"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7347553E"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Asturias</w:t>
            </w:r>
          </w:p>
        </w:tc>
        <w:tc>
          <w:tcPr>
            <w:tcW w:w="2976" w:type="dxa"/>
            <w:vAlign w:val="bottom"/>
          </w:tcPr>
          <w:p w14:paraId="129E11A7"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Avilés</w:t>
            </w:r>
          </w:p>
        </w:tc>
        <w:tc>
          <w:tcPr>
            <w:tcW w:w="1560" w:type="dxa"/>
            <w:vAlign w:val="bottom"/>
          </w:tcPr>
          <w:p w14:paraId="5517FD52"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5,6%</w:t>
            </w:r>
          </w:p>
        </w:tc>
        <w:tc>
          <w:tcPr>
            <w:tcW w:w="1559" w:type="dxa"/>
            <w:vAlign w:val="bottom"/>
          </w:tcPr>
          <w:p w14:paraId="145E21D6"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6,5%</w:t>
            </w:r>
          </w:p>
        </w:tc>
        <w:tc>
          <w:tcPr>
            <w:tcW w:w="1559" w:type="dxa"/>
            <w:vAlign w:val="bottom"/>
          </w:tcPr>
          <w:p w14:paraId="7A44C98F"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6,3%</w:t>
            </w:r>
          </w:p>
        </w:tc>
      </w:tr>
      <w:tr w:rsidR="00EE22B1" w14:paraId="69839689"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4FF0EC20"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Castellón</w:t>
            </w:r>
          </w:p>
        </w:tc>
        <w:tc>
          <w:tcPr>
            <w:tcW w:w="2976" w:type="dxa"/>
            <w:vAlign w:val="bottom"/>
          </w:tcPr>
          <w:p w14:paraId="689F7A90"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Castellón de la Plana / Castelló de la Plana</w:t>
            </w:r>
          </w:p>
        </w:tc>
        <w:tc>
          <w:tcPr>
            <w:tcW w:w="1560" w:type="dxa"/>
            <w:vAlign w:val="bottom"/>
          </w:tcPr>
          <w:p w14:paraId="492DD894"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6,2%</w:t>
            </w:r>
          </w:p>
        </w:tc>
        <w:tc>
          <w:tcPr>
            <w:tcW w:w="1559" w:type="dxa"/>
            <w:vAlign w:val="bottom"/>
          </w:tcPr>
          <w:p w14:paraId="7EDA7FAD"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6,1%</w:t>
            </w:r>
          </w:p>
        </w:tc>
        <w:tc>
          <w:tcPr>
            <w:tcW w:w="1559" w:type="dxa"/>
            <w:vAlign w:val="bottom"/>
          </w:tcPr>
          <w:p w14:paraId="1F610EDA"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6,3%</w:t>
            </w:r>
          </w:p>
        </w:tc>
      </w:tr>
      <w:tr w:rsidR="00EE22B1" w14:paraId="49C0C30F"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783301B3"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Castellón</w:t>
            </w:r>
          </w:p>
        </w:tc>
        <w:tc>
          <w:tcPr>
            <w:tcW w:w="2976" w:type="dxa"/>
            <w:vAlign w:val="bottom"/>
          </w:tcPr>
          <w:p w14:paraId="57D51A80"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Vila-real</w:t>
            </w:r>
          </w:p>
        </w:tc>
        <w:tc>
          <w:tcPr>
            <w:tcW w:w="1560" w:type="dxa"/>
            <w:vAlign w:val="bottom"/>
          </w:tcPr>
          <w:p w14:paraId="25667EB0"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6816E5C6"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7,5%</w:t>
            </w:r>
          </w:p>
        </w:tc>
        <w:tc>
          <w:tcPr>
            <w:tcW w:w="1559" w:type="dxa"/>
            <w:vAlign w:val="bottom"/>
          </w:tcPr>
          <w:p w14:paraId="5179D3D7"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6,3%</w:t>
            </w:r>
          </w:p>
        </w:tc>
      </w:tr>
      <w:tr w:rsidR="00EE22B1" w14:paraId="0A06092B"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0307FC22"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Cádiz</w:t>
            </w:r>
          </w:p>
        </w:tc>
        <w:tc>
          <w:tcPr>
            <w:tcW w:w="2976" w:type="dxa"/>
            <w:vAlign w:val="bottom"/>
          </w:tcPr>
          <w:p w14:paraId="6460441F"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San Fernando</w:t>
            </w:r>
          </w:p>
        </w:tc>
        <w:tc>
          <w:tcPr>
            <w:tcW w:w="1560" w:type="dxa"/>
            <w:vAlign w:val="bottom"/>
          </w:tcPr>
          <w:p w14:paraId="5C2233B3"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27265416"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6,1%</w:t>
            </w:r>
          </w:p>
        </w:tc>
        <w:tc>
          <w:tcPr>
            <w:tcW w:w="1559" w:type="dxa"/>
            <w:vAlign w:val="bottom"/>
          </w:tcPr>
          <w:p w14:paraId="0474A5B7"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6,3%</w:t>
            </w:r>
          </w:p>
        </w:tc>
      </w:tr>
      <w:tr w:rsidR="00EE22B1" w14:paraId="1F0CB01C"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249A6621"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Almería</w:t>
            </w:r>
          </w:p>
        </w:tc>
        <w:tc>
          <w:tcPr>
            <w:tcW w:w="2976" w:type="dxa"/>
            <w:vAlign w:val="bottom"/>
          </w:tcPr>
          <w:p w14:paraId="524CB99B"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Almería Capital</w:t>
            </w:r>
          </w:p>
        </w:tc>
        <w:tc>
          <w:tcPr>
            <w:tcW w:w="1560" w:type="dxa"/>
            <w:vAlign w:val="bottom"/>
          </w:tcPr>
          <w:p w14:paraId="6479634C"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6,7%</w:t>
            </w:r>
          </w:p>
        </w:tc>
        <w:tc>
          <w:tcPr>
            <w:tcW w:w="1559" w:type="dxa"/>
            <w:vAlign w:val="bottom"/>
          </w:tcPr>
          <w:p w14:paraId="1FE33B58"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6,4%</w:t>
            </w:r>
          </w:p>
        </w:tc>
        <w:tc>
          <w:tcPr>
            <w:tcW w:w="1559" w:type="dxa"/>
            <w:vAlign w:val="bottom"/>
          </w:tcPr>
          <w:p w14:paraId="6B68658D"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6,3%</w:t>
            </w:r>
          </w:p>
        </w:tc>
      </w:tr>
      <w:tr w:rsidR="00EE22B1" w14:paraId="62F3A10E"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44CCEC93"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Cádiz</w:t>
            </w:r>
          </w:p>
        </w:tc>
        <w:tc>
          <w:tcPr>
            <w:tcW w:w="2976" w:type="dxa"/>
            <w:vAlign w:val="bottom"/>
          </w:tcPr>
          <w:p w14:paraId="049CAB68"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El Puerto de Santa María</w:t>
            </w:r>
          </w:p>
        </w:tc>
        <w:tc>
          <w:tcPr>
            <w:tcW w:w="1560" w:type="dxa"/>
            <w:vAlign w:val="bottom"/>
          </w:tcPr>
          <w:p w14:paraId="09686CC2"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0620F5E5"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6,6%</w:t>
            </w:r>
          </w:p>
        </w:tc>
        <w:tc>
          <w:tcPr>
            <w:tcW w:w="1559" w:type="dxa"/>
            <w:vAlign w:val="bottom"/>
          </w:tcPr>
          <w:p w14:paraId="3985F422"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6,3%</w:t>
            </w:r>
          </w:p>
        </w:tc>
      </w:tr>
      <w:tr w:rsidR="00EE22B1" w14:paraId="09DA596E"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377674B9"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Valencia</w:t>
            </w:r>
          </w:p>
        </w:tc>
        <w:tc>
          <w:tcPr>
            <w:tcW w:w="2976" w:type="dxa"/>
            <w:vAlign w:val="bottom"/>
          </w:tcPr>
          <w:p w14:paraId="5668A07E"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Valencia Capital</w:t>
            </w:r>
          </w:p>
        </w:tc>
        <w:tc>
          <w:tcPr>
            <w:tcW w:w="1560" w:type="dxa"/>
            <w:vAlign w:val="bottom"/>
          </w:tcPr>
          <w:p w14:paraId="06E1DFF6"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5,5%</w:t>
            </w:r>
          </w:p>
        </w:tc>
        <w:tc>
          <w:tcPr>
            <w:tcW w:w="1559" w:type="dxa"/>
            <w:vAlign w:val="bottom"/>
          </w:tcPr>
          <w:p w14:paraId="2259A035"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5,9%</w:t>
            </w:r>
          </w:p>
        </w:tc>
        <w:tc>
          <w:tcPr>
            <w:tcW w:w="1559" w:type="dxa"/>
            <w:vAlign w:val="bottom"/>
          </w:tcPr>
          <w:p w14:paraId="6363E1CD"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6,3%</w:t>
            </w:r>
          </w:p>
        </w:tc>
      </w:tr>
      <w:tr w:rsidR="00EE22B1" w14:paraId="5F1CDBA6"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18A59047"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Madrid</w:t>
            </w:r>
          </w:p>
        </w:tc>
        <w:tc>
          <w:tcPr>
            <w:tcW w:w="2976" w:type="dxa"/>
            <w:vAlign w:val="bottom"/>
          </w:tcPr>
          <w:p w14:paraId="229CB9EE"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Móstoles</w:t>
            </w:r>
          </w:p>
        </w:tc>
        <w:tc>
          <w:tcPr>
            <w:tcW w:w="1560" w:type="dxa"/>
            <w:vAlign w:val="bottom"/>
          </w:tcPr>
          <w:p w14:paraId="71959389"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6,0%</w:t>
            </w:r>
          </w:p>
        </w:tc>
        <w:tc>
          <w:tcPr>
            <w:tcW w:w="1559" w:type="dxa"/>
            <w:vAlign w:val="bottom"/>
          </w:tcPr>
          <w:p w14:paraId="1249D1D4"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5,8%</w:t>
            </w:r>
          </w:p>
        </w:tc>
        <w:tc>
          <w:tcPr>
            <w:tcW w:w="1559" w:type="dxa"/>
            <w:vAlign w:val="bottom"/>
          </w:tcPr>
          <w:p w14:paraId="35036A96"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6,2%</w:t>
            </w:r>
          </w:p>
        </w:tc>
      </w:tr>
      <w:tr w:rsidR="00EE22B1" w14:paraId="0AF9BB68"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7123635E"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Guadalajara</w:t>
            </w:r>
          </w:p>
        </w:tc>
        <w:tc>
          <w:tcPr>
            <w:tcW w:w="2976" w:type="dxa"/>
            <w:vAlign w:val="bottom"/>
          </w:tcPr>
          <w:p w14:paraId="75A7F4D9"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Guadalajara Capital</w:t>
            </w:r>
          </w:p>
        </w:tc>
        <w:tc>
          <w:tcPr>
            <w:tcW w:w="1560" w:type="dxa"/>
            <w:vAlign w:val="bottom"/>
          </w:tcPr>
          <w:p w14:paraId="476911A8"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6,0%</w:t>
            </w:r>
          </w:p>
        </w:tc>
        <w:tc>
          <w:tcPr>
            <w:tcW w:w="1559" w:type="dxa"/>
            <w:vAlign w:val="bottom"/>
          </w:tcPr>
          <w:p w14:paraId="24D7385E"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5,8%</w:t>
            </w:r>
          </w:p>
        </w:tc>
        <w:tc>
          <w:tcPr>
            <w:tcW w:w="1559" w:type="dxa"/>
            <w:vAlign w:val="bottom"/>
          </w:tcPr>
          <w:p w14:paraId="6F9A3BEC"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6,2%</w:t>
            </w:r>
          </w:p>
        </w:tc>
      </w:tr>
      <w:tr w:rsidR="00EE22B1" w14:paraId="34D9AA73"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29974333"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Lleida</w:t>
            </w:r>
          </w:p>
        </w:tc>
        <w:tc>
          <w:tcPr>
            <w:tcW w:w="2976" w:type="dxa"/>
            <w:vAlign w:val="bottom"/>
          </w:tcPr>
          <w:p w14:paraId="2AF9BAC5"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Lleida Capital</w:t>
            </w:r>
          </w:p>
        </w:tc>
        <w:tc>
          <w:tcPr>
            <w:tcW w:w="1560" w:type="dxa"/>
            <w:vAlign w:val="bottom"/>
          </w:tcPr>
          <w:p w14:paraId="497ED6BB"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7,1%</w:t>
            </w:r>
          </w:p>
        </w:tc>
        <w:tc>
          <w:tcPr>
            <w:tcW w:w="1559" w:type="dxa"/>
            <w:vAlign w:val="bottom"/>
          </w:tcPr>
          <w:p w14:paraId="2200A27F"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6,3%</w:t>
            </w:r>
          </w:p>
        </w:tc>
        <w:tc>
          <w:tcPr>
            <w:tcW w:w="1559" w:type="dxa"/>
            <w:vAlign w:val="bottom"/>
          </w:tcPr>
          <w:p w14:paraId="0D669E75"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6,2%</w:t>
            </w:r>
          </w:p>
        </w:tc>
      </w:tr>
      <w:tr w:rsidR="00EE22B1" w14:paraId="1686051B"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1D6CBD3E"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Cuenca</w:t>
            </w:r>
          </w:p>
        </w:tc>
        <w:tc>
          <w:tcPr>
            <w:tcW w:w="2976" w:type="dxa"/>
            <w:vAlign w:val="bottom"/>
          </w:tcPr>
          <w:p w14:paraId="6FA4C797"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Cuenca Capital</w:t>
            </w:r>
          </w:p>
        </w:tc>
        <w:tc>
          <w:tcPr>
            <w:tcW w:w="1560" w:type="dxa"/>
            <w:vAlign w:val="bottom"/>
          </w:tcPr>
          <w:p w14:paraId="1F89E46B"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080C9A64"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4,9%</w:t>
            </w:r>
          </w:p>
        </w:tc>
        <w:tc>
          <w:tcPr>
            <w:tcW w:w="1559" w:type="dxa"/>
            <w:vAlign w:val="bottom"/>
          </w:tcPr>
          <w:p w14:paraId="668BA6AC"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6,2%</w:t>
            </w:r>
          </w:p>
        </w:tc>
      </w:tr>
      <w:tr w:rsidR="00EE22B1" w14:paraId="4E4DED4E"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2E7E9083"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Santa Cruz de Tenerife</w:t>
            </w:r>
          </w:p>
        </w:tc>
        <w:tc>
          <w:tcPr>
            <w:tcW w:w="2976" w:type="dxa"/>
            <w:vAlign w:val="bottom"/>
          </w:tcPr>
          <w:p w14:paraId="487AB1CE"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Granadilla de Abona</w:t>
            </w:r>
          </w:p>
        </w:tc>
        <w:tc>
          <w:tcPr>
            <w:tcW w:w="1560" w:type="dxa"/>
            <w:vAlign w:val="bottom"/>
          </w:tcPr>
          <w:p w14:paraId="2603F8DD"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6,0%</w:t>
            </w:r>
          </w:p>
        </w:tc>
        <w:tc>
          <w:tcPr>
            <w:tcW w:w="1559" w:type="dxa"/>
            <w:vAlign w:val="bottom"/>
          </w:tcPr>
          <w:p w14:paraId="016F05A3"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1B37FF68"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6,2%</w:t>
            </w:r>
          </w:p>
        </w:tc>
      </w:tr>
      <w:tr w:rsidR="00EE22B1" w14:paraId="07185934"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1E95BB57"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Murcia</w:t>
            </w:r>
          </w:p>
        </w:tc>
        <w:tc>
          <w:tcPr>
            <w:tcW w:w="2976" w:type="dxa"/>
            <w:vAlign w:val="bottom"/>
          </w:tcPr>
          <w:p w14:paraId="7140CD46"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Murcia Capital</w:t>
            </w:r>
          </w:p>
        </w:tc>
        <w:tc>
          <w:tcPr>
            <w:tcW w:w="1560" w:type="dxa"/>
            <w:vAlign w:val="bottom"/>
          </w:tcPr>
          <w:p w14:paraId="5E0FDA02"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6,6%</w:t>
            </w:r>
          </w:p>
        </w:tc>
        <w:tc>
          <w:tcPr>
            <w:tcW w:w="1559" w:type="dxa"/>
            <w:vAlign w:val="bottom"/>
          </w:tcPr>
          <w:p w14:paraId="212B6801"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6,4%</w:t>
            </w:r>
          </w:p>
        </w:tc>
        <w:tc>
          <w:tcPr>
            <w:tcW w:w="1559" w:type="dxa"/>
            <w:vAlign w:val="bottom"/>
          </w:tcPr>
          <w:p w14:paraId="1941A9B6"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6,2%</w:t>
            </w:r>
          </w:p>
        </w:tc>
      </w:tr>
      <w:tr w:rsidR="00EE22B1" w14:paraId="5131B9F8"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4C22C834"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Santa Cruz de Tenerife</w:t>
            </w:r>
          </w:p>
        </w:tc>
        <w:tc>
          <w:tcPr>
            <w:tcW w:w="2976" w:type="dxa"/>
            <w:vAlign w:val="bottom"/>
          </w:tcPr>
          <w:p w14:paraId="6D674216"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Santa Cruz de Tenerife Capital</w:t>
            </w:r>
          </w:p>
        </w:tc>
        <w:tc>
          <w:tcPr>
            <w:tcW w:w="1560" w:type="dxa"/>
            <w:vAlign w:val="bottom"/>
          </w:tcPr>
          <w:p w14:paraId="2D5F45F9"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6,7%</w:t>
            </w:r>
          </w:p>
        </w:tc>
        <w:tc>
          <w:tcPr>
            <w:tcW w:w="1559" w:type="dxa"/>
            <w:vAlign w:val="bottom"/>
          </w:tcPr>
          <w:p w14:paraId="3B0C1E39"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5,6%</w:t>
            </w:r>
          </w:p>
        </w:tc>
        <w:tc>
          <w:tcPr>
            <w:tcW w:w="1559" w:type="dxa"/>
            <w:vAlign w:val="bottom"/>
          </w:tcPr>
          <w:p w14:paraId="5AF05675"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6,1%</w:t>
            </w:r>
          </w:p>
        </w:tc>
      </w:tr>
      <w:tr w:rsidR="00EE22B1" w14:paraId="4AB035DE"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7BB83568"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Almería</w:t>
            </w:r>
          </w:p>
        </w:tc>
        <w:tc>
          <w:tcPr>
            <w:tcW w:w="2976" w:type="dxa"/>
            <w:vAlign w:val="bottom"/>
          </w:tcPr>
          <w:p w14:paraId="64E5E093"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Garrucha</w:t>
            </w:r>
          </w:p>
        </w:tc>
        <w:tc>
          <w:tcPr>
            <w:tcW w:w="1560" w:type="dxa"/>
            <w:vAlign w:val="bottom"/>
          </w:tcPr>
          <w:p w14:paraId="61E542BD"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333E369C"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7,3%</w:t>
            </w:r>
          </w:p>
        </w:tc>
        <w:tc>
          <w:tcPr>
            <w:tcW w:w="1559" w:type="dxa"/>
            <w:vAlign w:val="bottom"/>
          </w:tcPr>
          <w:p w14:paraId="74C1D25D"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6,1%</w:t>
            </w:r>
          </w:p>
        </w:tc>
      </w:tr>
      <w:tr w:rsidR="00EE22B1" w14:paraId="7121F974"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650F57B1"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Madrid</w:t>
            </w:r>
          </w:p>
        </w:tc>
        <w:tc>
          <w:tcPr>
            <w:tcW w:w="2976" w:type="dxa"/>
            <w:vAlign w:val="bottom"/>
          </w:tcPr>
          <w:p w14:paraId="18A41D89"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San Sebastián de los Reyes</w:t>
            </w:r>
          </w:p>
        </w:tc>
        <w:tc>
          <w:tcPr>
            <w:tcW w:w="1560" w:type="dxa"/>
            <w:vAlign w:val="bottom"/>
          </w:tcPr>
          <w:p w14:paraId="6B0DCA63"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5,1%</w:t>
            </w:r>
          </w:p>
        </w:tc>
        <w:tc>
          <w:tcPr>
            <w:tcW w:w="1559" w:type="dxa"/>
            <w:vAlign w:val="bottom"/>
          </w:tcPr>
          <w:p w14:paraId="0B1A2BF5"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6,6%</w:t>
            </w:r>
          </w:p>
        </w:tc>
        <w:tc>
          <w:tcPr>
            <w:tcW w:w="1559" w:type="dxa"/>
            <w:vAlign w:val="bottom"/>
          </w:tcPr>
          <w:p w14:paraId="06151060"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6,1%</w:t>
            </w:r>
          </w:p>
        </w:tc>
      </w:tr>
      <w:tr w:rsidR="00EE22B1" w14:paraId="4859E5CA"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3F6BDB64"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Melilla</w:t>
            </w:r>
          </w:p>
        </w:tc>
        <w:tc>
          <w:tcPr>
            <w:tcW w:w="2976" w:type="dxa"/>
            <w:vAlign w:val="bottom"/>
          </w:tcPr>
          <w:p w14:paraId="27CC55BC"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Melilla Capital</w:t>
            </w:r>
          </w:p>
        </w:tc>
        <w:tc>
          <w:tcPr>
            <w:tcW w:w="1560" w:type="dxa"/>
            <w:vAlign w:val="bottom"/>
          </w:tcPr>
          <w:p w14:paraId="6501CEEF"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116C8529"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5,9%</w:t>
            </w:r>
          </w:p>
        </w:tc>
        <w:tc>
          <w:tcPr>
            <w:tcW w:w="1559" w:type="dxa"/>
            <w:vAlign w:val="bottom"/>
          </w:tcPr>
          <w:p w14:paraId="0B3D43AC"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6,1%</w:t>
            </w:r>
          </w:p>
        </w:tc>
      </w:tr>
      <w:tr w:rsidR="00EE22B1" w14:paraId="76B6FB34"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3BD15B16"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Santa Cruz de Tenerife</w:t>
            </w:r>
          </w:p>
        </w:tc>
        <w:tc>
          <w:tcPr>
            <w:tcW w:w="2976" w:type="dxa"/>
            <w:vAlign w:val="bottom"/>
          </w:tcPr>
          <w:p w14:paraId="69A039A0"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San Cristóbal de la Laguna</w:t>
            </w:r>
          </w:p>
        </w:tc>
        <w:tc>
          <w:tcPr>
            <w:tcW w:w="1560" w:type="dxa"/>
            <w:vAlign w:val="bottom"/>
          </w:tcPr>
          <w:p w14:paraId="42CF98C6"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8,3%</w:t>
            </w:r>
          </w:p>
        </w:tc>
        <w:tc>
          <w:tcPr>
            <w:tcW w:w="1559" w:type="dxa"/>
            <w:vAlign w:val="bottom"/>
          </w:tcPr>
          <w:p w14:paraId="3124C21E"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6,4%</w:t>
            </w:r>
          </w:p>
        </w:tc>
        <w:tc>
          <w:tcPr>
            <w:tcW w:w="1559" w:type="dxa"/>
            <w:vAlign w:val="bottom"/>
          </w:tcPr>
          <w:p w14:paraId="6A37B8BC"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6,1%</w:t>
            </w:r>
          </w:p>
        </w:tc>
      </w:tr>
      <w:tr w:rsidR="00EE22B1" w14:paraId="3D0F1455"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64D00435"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Ciudad Real</w:t>
            </w:r>
          </w:p>
        </w:tc>
        <w:tc>
          <w:tcPr>
            <w:tcW w:w="2976" w:type="dxa"/>
            <w:vAlign w:val="bottom"/>
          </w:tcPr>
          <w:p w14:paraId="1B3E4B16"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Ciudad Real Capital</w:t>
            </w:r>
          </w:p>
        </w:tc>
        <w:tc>
          <w:tcPr>
            <w:tcW w:w="1560" w:type="dxa"/>
            <w:vAlign w:val="bottom"/>
          </w:tcPr>
          <w:p w14:paraId="3FD338B3"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5,3%</w:t>
            </w:r>
          </w:p>
        </w:tc>
        <w:tc>
          <w:tcPr>
            <w:tcW w:w="1559" w:type="dxa"/>
            <w:vAlign w:val="bottom"/>
          </w:tcPr>
          <w:p w14:paraId="2532FD3A"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6,2%</w:t>
            </w:r>
          </w:p>
        </w:tc>
        <w:tc>
          <w:tcPr>
            <w:tcW w:w="1559" w:type="dxa"/>
            <w:vAlign w:val="bottom"/>
          </w:tcPr>
          <w:p w14:paraId="30295783"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6,1%</w:t>
            </w:r>
          </w:p>
        </w:tc>
      </w:tr>
      <w:tr w:rsidR="00EE22B1" w14:paraId="3D6694AA"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068BCF42"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Las Palmas</w:t>
            </w:r>
          </w:p>
        </w:tc>
        <w:tc>
          <w:tcPr>
            <w:tcW w:w="2976" w:type="dxa"/>
            <w:vAlign w:val="bottom"/>
          </w:tcPr>
          <w:p w14:paraId="3C9ACA4E"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Las Palmas de Gran Canaria</w:t>
            </w:r>
          </w:p>
        </w:tc>
        <w:tc>
          <w:tcPr>
            <w:tcW w:w="1560" w:type="dxa"/>
            <w:vAlign w:val="bottom"/>
          </w:tcPr>
          <w:p w14:paraId="194FD613"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5,8%</w:t>
            </w:r>
          </w:p>
        </w:tc>
        <w:tc>
          <w:tcPr>
            <w:tcW w:w="1559" w:type="dxa"/>
            <w:vAlign w:val="bottom"/>
          </w:tcPr>
          <w:p w14:paraId="26D4522C"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6,2%</w:t>
            </w:r>
          </w:p>
        </w:tc>
        <w:tc>
          <w:tcPr>
            <w:tcW w:w="1559" w:type="dxa"/>
            <w:vAlign w:val="bottom"/>
          </w:tcPr>
          <w:p w14:paraId="3A612F76"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6,1%</w:t>
            </w:r>
          </w:p>
        </w:tc>
      </w:tr>
      <w:tr w:rsidR="00EE22B1" w14:paraId="78C5BE66"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23620C96"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Santa Cruz de Tenerife</w:t>
            </w:r>
          </w:p>
        </w:tc>
        <w:tc>
          <w:tcPr>
            <w:tcW w:w="2976" w:type="dxa"/>
            <w:vAlign w:val="bottom"/>
          </w:tcPr>
          <w:p w14:paraId="03898D45"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Los Realejos</w:t>
            </w:r>
          </w:p>
        </w:tc>
        <w:tc>
          <w:tcPr>
            <w:tcW w:w="1560" w:type="dxa"/>
            <w:vAlign w:val="bottom"/>
          </w:tcPr>
          <w:p w14:paraId="4EFD3B13"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63D02BC8"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442C765E"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6,1%</w:t>
            </w:r>
          </w:p>
        </w:tc>
      </w:tr>
      <w:tr w:rsidR="00EE22B1" w14:paraId="5B584490"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55264F7B"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Alicante</w:t>
            </w:r>
          </w:p>
        </w:tc>
        <w:tc>
          <w:tcPr>
            <w:tcW w:w="2976" w:type="dxa"/>
            <w:vAlign w:val="bottom"/>
          </w:tcPr>
          <w:p w14:paraId="39C40869"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Alicante / Alacant</w:t>
            </w:r>
          </w:p>
        </w:tc>
        <w:tc>
          <w:tcPr>
            <w:tcW w:w="1560" w:type="dxa"/>
            <w:vAlign w:val="bottom"/>
          </w:tcPr>
          <w:p w14:paraId="30837F1C"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6,0%</w:t>
            </w:r>
          </w:p>
        </w:tc>
        <w:tc>
          <w:tcPr>
            <w:tcW w:w="1559" w:type="dxa"/>
            <w:vAlign w:val="bottom"/>
          </w:tcPr>
          <w:p w14:paraId="3FB01C47"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6,1%</w:t>
            </w:r>
          </w:p>
        </w:tc>
        <w:tc>
          <w:tcPr>
            <w:tcW w:w="1559" w:type="dxa"/>
            <w:vAlign w:val="bottom"/>
          </w:tcPr>
          <w:p w14:paraId="6239B817"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6,0%</w:t>
            </w:r>
          </w:p>
        </w:tc>
      </w:tr>
      <w:tr w:rsidR="00EE22B1" w14:paraId="0DD573DB"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644B2BF7"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Sevilla</w:t>
            </w:r>
          </w:p>
        </w:tc>
        <w:tc>
          <w:tcPr>
            <w:tcW w:w="2976" w:type="dxa"/>
            <w:vAlign w:val="bottom"/>
          </w:tcPr>
          <w:p w14:paraId="32E292E6"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Sevilla Capital</w:t>
            </w:r>
          </w:p>
        </w:tc>
        <w:tc>
          <w:tcPr>
            <w:tcW w:w="1560" w:type="dxa"/>
            <w:vAlign w:val="bottom"/>
          </w:tcPr>
          <w:p w14:paraId="392A582C"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5,7%</w:t>
            </w:r>
          </w:p>
        </w:tc>
        <w:tc>
          <w:tcPr>
            <w:tcW w:w="1559" w:type="dxa"/>
            <w:vAlign w:val="bottom"/>
          </w:tcPr>
          <w:p w14:paraId="288568ED"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6,1%</w:t>
            </w:r>
          </w:p>
        </w:tc>
        <w:tc>
          <w:tcPr>
            <w:tcW w:w="1559" w:type="dxa"/>
            <w:vAlign w:val="bottom"/>
          </w:tcPr>
          <w:p w14:paraId="211716E1"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6,0%</w:t>
            </w:r>
          </w:p>
        </w:tc>
      </w:tr>
      <w:tr w:rsidR="00EE22B1" w14:paraId="0ACC4835"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50CA624A"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Murcia</w:t>
            </w:r>
          </w:p>
        </w:tc>
        <w:tc>
          <w:tcPr>
            <w:tcW w:w="2976" w:type="dxa"/>
            <w:vAlign w:val="bottom"/>
          </w:tcPr>
          <w:p w14:paraId="7F298087"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San Javier</w:t>
            </w:r>
          </w:p>
        </w:tc>
        <w:tc>
          <w:tcPr>
            <w:tcW w:w="1560" w:type="dxa"/>
            <w:vAlign w:val="bottom"/>
          </w:tcPr>
          <w:p w14:paraId="7634BE77"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607BCC25"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10,0%</w:t>
            </w:r>
          </w:p>
        </w:tc>
        <w:tc>
          <w:tcPr>
            <w:tcW w:w="1559" w:type="dxa"/>
            <w:vAlign w:val="bottom"/>
          </w:tcPr>
          <w:p w14:paraId="08539D75"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5,9%</w:t>
            </w:r>
          </w:p>
        </w:tc>
      </w:tr>
      <w:tr w:rsidR="00EE22B1" w14:paraId="3C2773B2"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59FABD4B"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lastRenderedPageBreak/>
              <w:t>Girona</w:t>
            </w:r>
          </w:p>
        </w:tc>
        <w:tc>
          <w:tcPr>
            <w:tcW w:w="2976" w:type="dxa"/>
            <w:vAlign w:val="bottom"/>
          </w:tcPr>
          <w:p w14:paraId="033CCE40"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Girona Capital</w:t>
            </w:r>
          </w:p>
        </w:tc>
        <w:tc>
          <w:tcPr>
            <w:tcW w:w="1560" w:type="dxa"/>
            <w:vAlign w:val="bottom"/>
          </w:tcPr>
          <w:p w14:paraId="4EC12539"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4,9%</w:t>
            </w:r>
          </w:p>
        </w:tc>
        <w:tc>
          <w:tcPr>
            <w:tcW w:w="1559" w:type="dxa"/>
            <w:vAlign w:val="bottom"/>
          </w:tcPr>
          <w:p w14:paraId="62BDC97C"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6,3%</w:t>
            </w:r>
          </w:p>
        </w:tc>
        <w:tc>
          <w:tcPr>
            <w:tcW w:w="1559" w:type="dxa"/>
            <w:vAlign w:val="bottom"/>
          </w:tcPr>
          <w:p w14:paraId="25E7795C"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5,9%</w:t>
            </w:r>
          </w:p>
        </w:tc>
      </w:tr>
      <w:tr w:rsidR="00EE22B1" w14:paraId="16A80B91"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508E531F"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Murcia</w:t>
            </w:r>
          </w:p>
        </w:tc>
        <w:tc>
          <w:tcPr>
            <w:tcW w:w="2976" w:type="dxa"/>
            <w:vAlign w:val="bottom"/>
          </w:tcPr>
          <w:p w14:paraId="7F17B5D5"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Cartagena</w:t>
            </w:r>
          </w:p>
        </w:tc>
        <w:tc>
          <w:tcPr>
            <w:tcW w:w="1560" w:type="dxa"/>
            <w:vAlign w:val="bottom"/>
          </w:tcPr>
          <w:p w14:paraId="4BA7A9F5"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6,7%</w:t>
            </w:r>
          </w:p>
        </w:tc>
        <w:tc>
          <w:tcPr>
            <w:tcW w:w="1559" w:type="dxa"/>
            <w:vAlign w:val="bottom"/>
          </w:tcPr>
          <w:p w14:paraId="7A300653"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6,5%</w:t>
            </w:r>
          </w:p>
        </w:tc>
        <w:tc>
          <w:tcPr>
            <w:tcW w:w="1559" w:type="dxa"/>
            <w:vAlign w:val="bottom"/>
          </w:tcPr>
          <w:p w14:paraId="1F6F94B1"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5,9%</w:t>
            </w:r>
          </w:p>
        </w:tc>
      </w:tr>
      <w:tr w:rsidR="00EE22B1" w14:paraId="43B99D19"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47D0752B"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Castellón</w:t>
            </w:r>
          </w:p>
        </w:tc>
        <w:tc>
          <w:tcPr>
            <w:tcW w:w="2976" w:type="dxa"/>
            <w:vAlign w:val="bottom"/>
          </w:tcPr>
          <w:p w14:paraId="232BD501"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Oropesa del Mar / Orpesa</w:t>
            </w:r>
          </w:p>
        </w:tc>
        <w:tc>
          <w:tcPr>
            <w:tcW w:w="1560" w:type="dxa"/>
            <w:vAlign w:val="bottom"/>
          </w:tcPr>
          <w:p w14:paraId="63974DCB"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3E905B0F"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6,2%</w:t>
            </w:r>
          </w:p>
        </w:tc>
        <w:tc>
          <w:tcPr>
            <w:tcW w:w="1559" w:type="dxa"/>
            <w:vAlign w:val="bottom"/>
          </w:tcPr>
          <w:p w14:paraId="43022105"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5,8%</w:t>
            </w:r>
          </w:p>
        </w:tc>
      </w:tr>
      <w:tr w:rsidR="00EE22B1" w14:paraId="119BCBF0"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42CCB195"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Valencia</w:t>
            </w:r>
          </w:p>
        </w:tc>
        <w:tc>
          <w:tcPr>
            <w:tcW w:w="2976" w:type="dxa"/>
            <w:vAlign w:val="bottom"/>
          </w:tcPr>
          <w:p w14:paraId="41C57161"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Canet d'En Berenguer</w:t>
            </w:r>
          </w:p>
        </w:tc>
        <w:tc>
          <w:tcPr>
            <w:tcW w:w="1560" w:type="dxa"/>
            <w:vAlign w:val="bottom"/>
          </w:tcPr>
          <w:p w14:paraId="4E9B5E52"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397E3F97"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6,9%</w:t>
            </w:r>
          </w:p>
        </w:tc>
        <w:tc>
          <w:tcPr>
            <w:tcW w:w="1559" w:type="dxa"/>
            <w:vAlign w:val="bottom"/>
          </w:tcPr>
          <w:p w14:paraId="3B5A487E"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5,8%</w:t>
            </w:r>
          </w:p>
        </w:tc>
      </w:tr>
      <w:tr w:rsidR="00EE22B1" w14:paraId="7BEFA1C4"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20EB7894"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Madrid</w:t>
            </w:r>
          </w:p>
        </w:tc>
        <w:tc>
          <w:tcPr>
            <w:tcW w:w="2976" w:type="dxa"/>
            <w:vAlign w:val="bottom"/>
          </w:tcPr>
          <w:p w14:paraId="047D76B3"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Alcalá de Henares</w:t>
            </w:r>
          </w:p>
        </w:tc>
        <w:tc>
          <w:tcPr>
            <w:tcW w:w="1560" w:type="dxa"/>
            <w:vAlign w:val="bottom"/>
          </w:tcPr>
          <w:p w14:paraId="5C3F5597"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6,3%</w:t>
            </w:r>
          </w:p>
        </w:tc>
        <w:tc>
          <w:tcPr>
            <w:tcW w:w="1559" w:type="dxa"/>
            <w:vAlign w:val="bottom"/>
          </w:tcPr>
          <w:p w14:paraId="04C37446"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6,4%</w:t>
            </w:r>
          </w:p>
        </w:tc>
        <w:tc>
          <w:tcPr>
            <w:tcW w:w="1559" w:type="dxa"/>
            <w:vAlign w:val="bottom"/>
          </w:tcPr>
          <w:p w14:paraId="595062EA"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5,8%</w:t>
            </w:r>
          </w:p>
        </w:tc>
      </w:tr>
      <w:tr w:rsidR="00EE22B1" w14:paraId="682E0D0E"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331DD896"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Madrid</w:t>
            </w:r>
          </w:p>
        </w:tc>
        <w:tc>
          <w:tcPr>
            <w:tcW w:w="2976" w:type="dxa"/>
            <w:vAlign w:val="bottom"/>
          </w:tcPr>
          <w:p w14:paraId="1B0ABA0D"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Leganés</w:t>
            </w:r>
          </w:p>
        </w:tc>
        <w:tc>
          <w:tcPr>
            <w:tcW w:w="1560" w:type="dxa"/>
            <w:vAlign w:val="bottom"/>
          </w:tcPr>
          <w:p w14:paraId="05904A1C"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5,8%</w:t>
            </w:r>
          </w:p>
        </w:tc>
        <w:tc>
          <w:tcPr>
            <w:tcW w:w="1559" w:type="dxa"/>
            <w:vAlign w:val="bottom"/>
          </w:tcPr>
          <w:p w14:paraId="0B77CF4B"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6,6%</w:t>
            </w:r>
          </w:p>
        </w:tc>
        <w:tc>
          <w:tcPr>
            <w:tcW w:w="1559" w:type="dxa"/>
            <w:vAlign w:val="bottom"/>
          </w:tcPr>
          <w:p w14:paraId="0E582FCA"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5,8%</w:t>
            </w:r>
          </w:p>
        </w:tc>
      </w:tr>
      <w:tr w:rsidR="00EE22B1" w14:paraId="6C8CF333"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49B7C686"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Girona</w:t>
            </w:r>
          </w:p>
        </w:tc>
        <w:tc>
          <w:tcPr>
            <w:tcW w:w="2976" w:type="dxa"/>
            <w:vAlign w:val="bottom"/>
          </w:tcPr>
          <w:p w14:paraId="2A47E6DC"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Palamós</w:t>
            </w:r>
          </w:p>
        </w:tc>
        <w:tc>
          <w:tcPr>
            <w:tcW w:w="1560" w:type="dxa"/>
            <w:vAlign w:val="bottom"/>
          </w:tcPr>
          <w:p w14:paraId="23705A25"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283EF737"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129EAE2F"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5,8%</w:t>
            </w:r>
          </w:p>
        </w:tc>
      </w:tr>
      <w:tr w:rsidR="00EE22B1" w14:paraId="11614771"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765AD938"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Burgos</w:t>
            </w:r>
          </w:p>
        </w:tc>
        <w:tc>
          <w:tcPr>
            <w:tcW w:w="2976" w:type="dxa"/>
            <w:vAlign w:val="bottom"/>
          </w:tcPr>
          <w:p w14:paraId="164C368D"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Burgos Capital</w:t>
            </w:r>
          </w:p>
        </w:tc>
        <w:tc>
          <w:tcPr>
            <w:tcW w:w="1560" w:type="dxa"/>
            <w:vAlign w:val="bottom"/>
          </w:tcPr>
          <w:p w14:paraId="04D586C8"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5,4%</w:t>
            </w:r>
          </w:p>
        </w:tc>
        <w:tc>
          <w:tcPr>
            <w:tcW w:w="1559" w:type="dxa"/>
            <w:vAlign w:val="bottom"/>
          </w:tcPr>
          <w:p w14:paraId="0EA06C0B"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5,7%</w:t>
            </w:r>
          </w:p>
        </w:tc>
        <w:tc>
          <w:tcPr>
            <w:tcW w:w="1559" w:type="dxa"/>
            <w:vAlign w:val="bottom"/>
          </w:tcPr>
          <w:p w14:paraId="3B5D9D1D"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5,8%</w:t>
            </w:r>
          </w:p>
        </w:tc>
      </w:tr>
      <w:tr w:rsidR="00EE22B1" w14:paraId="1F7CAD7E"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5BFE6EB9"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Lugo</w:t>
            </w:r>
          </w:p>
        </w:tc>
        <w:tc>
          <w:tcPr>
            <w:tcW w:w="2976" w:type="dxa"/>
            <w:vAlign w:val="bottom"/>
          </w:tcPr>
          <w:p w14:paraId="4AEAA3A5"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Lugo Capital</w:t>
            </w:r>
          </w:p>
        </w:tc>
        <w:tc>
          <w:tcPr>
            <w:tcW w:w="1560" w:type="dxa"/>
            <w:vAlign w:val="bottom"/>
          </w:tcPr>
          <w:p w14:paraId="2694D51F"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4,7%</w:t>
            </w:r>
          </w:p>
        </w:tc>
        <w:tc>
          <w:tcPr>
            <w:tcW w:w="1559" w:type="dxa"/>
            <w:vAlign w:val="bottom"/>
          </w:tcPr>
          <w:p w14:paraId="36C0DA7B"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5,8%</w:t>
            </w:r>
          </w:p>
        </w:tc>
        <w:tc>
          <w:tcPr>
            <w:tcW w:w="1559" w:type="dxa"/>
            <w:vAlign w:val="bottom"/>
          </w:tcPr>
          <w:p w14:paraId="1F8A80D2"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5,7%</w:t>
            </w:r>
          </w:p>
        </w:tc>
      </w:tr>
      <w:tr w:rsidR="00EE22B1" w14:paraId="7486BBD4"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0D186CE7"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Santa Cruz de Tenerife</w:t>
            </w:r>
          </w:p>
        </w:tc>
        <w:tc>
          <w:tcPr>
            <w:tcW w:w="2976" w:type="dxa"/>
            <w:vAlign w:val="bottom"/>
          </w:tcPr>
          <w:p w14:paraId="7D16A13F"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Puerto de la Cruz</w:t>
            </w:r>
          </w:p>
        </w:tc>
        <w:tc>
          <w:tcPr>
            <w:tcW w:w="1560" w:type="dxa"/>
            <w:vAlign w:val="bottom"/>
          </w:tcPr>
          <w:p w14:paraId="6834EB17"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6,3%</w:t>
            </w:r>
          </w:p>
        </w:tc>
        <w:tc>
          <w:tcPr>
            <w:tcW w:w="1559" w:type="dxa"/>
            <w:vAlign w:val="bottom"/>
          </w:tcPr>
          <w:p w14:paraId="512BBF46"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5,4%</w:t>
            </w:r>
          </w:p>
        </w:tc>
        <w:tc>
          <w:tcPr>
            <w:tcW w:w="1559" w:type="dxa"/>
            <w:vAlign w:val="bottom"/>
          </w:tcPr>
          <w:p w14:paraId="1655CC2E"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5,7%</w:t>
            </w:r>
          </w:p>
        </w:tc>
      </w:tr>
      <w:tr w:rsidR="00EE22B1" w14:paraId="69E840A1"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6FE099EA"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Murcia</w:t>
            </w:r>
          </w:p>
        </w:tc>
        <w:tc>
          <w:tcPr>
            <w:tcW w:w="2976" w:type="dxa"/>
            <w:vAlign w:val="bottom"/>
          </w:tcPr>
          <w:p w14:paraId="167DA769"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Águilas</w:t>
            </w:r>
          </w:p>
        </w:tc>
        <w:tc>
          <w:tcPr>
            <w:tcW w:w="1560" w:type="dxa"/>
            <w:vAlign w:val="bottom"/>
          </w:tcPr>
          <w:p w14:paraId="6D8C354B"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36E56965"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6,4%</w:t>
            </w:r>
          </w:p>
        </w:tc>
        <w:tc>
          <w:tcPr>
            <w:tcW w:w="1559" w:type="dxa"/>
            <w:vAlign w:val="bottom"/>
          </w:tcPr>
          <w:p w14:paraId="1A0917F1"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5,7%</w:t>
            </w:r>
          </w:p>
        </w:tc>
      </w:tr>
      <w:tr w:rsidR="00EE22B1" w14:paraId="52382F25"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0E0456A7"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Alicante</w:t>
            </w:r>
          </w:p>
        </w:tc>
        <w:tc>
          <w:tcPr>
            <w:tcW w:w="2976" w:type="dxa"/>
            <w:vAlign w:val="bottom"/>
          </w:tcPr>
          <w:p w14:paraId="577D094D"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Santa Pola</w:t>
            </w:r>
          </w:p>
        </w:tc>
        <w:tc>
          <w:tcPr>
            <w:tcW w:w="1560" w:type="dxa"/>
            <w:vAlign w:val="bottom"/>
          </w:tcPr>
          <w:p w14:paraId="72DAB77F"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4BBE6BE3"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5,9%</w:t>
            </w:r>
          </w:p>
        </w:tc>
        <w:tc>
          <w:tcPr>
            <w:tcW w:w="1559" w:type="dxa"/>
            <w:vAlign w:val="bottom"/>
          </w:tcPr>
          <w:p w14:paraId="633DBAE8"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5,7%</w:t>
            </w:r>
          </w:p>
        </w:tc>
      </w:tr>
      <w:tr w:rsidR="00EE22B1" w14:paraId="4E762944"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5075889D"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Madrid</w:t>
            </w:r>
          </w:p>
        </w:tc>
        <w:tc>
          <w:tcPr>
            <w:tcW w:w="2976" w:type="dxa"/>
            <w:vAlign w:val="bottom"/>
          </w:tcPr>
          <w:p w14:paraId="4806D7A3"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Torrejón de Ardoz</w:t>
            </w:r>
          </w:p>
        </w:tc>
        <w:tc>
          <w:tcPr>
            <w:tcW w:w="1560" w:type="dxa"/>
            <w:vAlign w:val="bottom"/>
          </w:tcPr>
          <w:p w14:paraId="498B5192"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5,6%</w:t>
            </w:r>
          </w:p>
        </w:tc>
        <w:tc>
          <w:tcPr>
            <w:tcW w:w="1559" w:type="dxa"/>
            <w:vAlign w:val="bottom"/>
          </w:tcPr>
          <w:p w14:paraId="00C52137"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2597DFEC"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5,7%</w:t>
            </w:r>
          </w:p>
        </w:tc>
      </w:tr>
      <w:tr w:rsidR="00EE22B1" w14:paraId="543D56BE"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2619F474"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Santa Cruz de Tenerife</w:t>
            </w:r>
          </w:p>
        </w:tc>
        <w:tc>
          <w:tcPr>
            <w:tcW w:w="2976" w:type="dxa"/>
            <w:vAlign w:val="bottom"/>
          </w:tcPr>
          <w:p w14:paraId="4CC3C0BC"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Arona</w:t>
            </w:r>
          </w:p>
        </w:tc>
        <w:tc>
          <w:tcPr>
            <w:tcW w:w="1560" w:type="dxa"/>
            <w:vAlign w:val="bottom"/>
          </w:tcPr>
          <w:p w14:paraId="0CC5C7CA"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5,7%</w:t>
            </w:r>
          </w:p>
        </w:tc>
        <w:tc>
          <w:tcPr>
            <w:tcW w:w="1559" w:type="dxa"/>
            <w:vAlign w:val="bottom"/>
          </w:tcPr>
          <w:p w14:paraId="1A8E3B8B"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5,6%</w:t>
            </w:r>
          </w:p>
        </w:tc>
        <w:tc>
          <w:tcPr>
            <w:tcW w:w="1559" w:type="dxa"/>
            <w:vAlign w:val="bottom"/>
          </w:tcPr>
          <w:p w14:paraId="5D8F0EF3"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5,7%</w:t>
            </w:r>
          </w:p>
        </w:tc>
      </w:tr>
      <w:tr w:rsidR="00EE22B1" w14:paraId="55F96E39"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5035A864"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Madrid</w:t>
            </w:r>
          </w:p>
        </w:tc>
        <w:tc>
          <w:tcPr>
            <w:tcW w:w="2976" w:type="dxa"/>
            <w:vAlign w:val="bottom"/>
          </w:tcPr>
          <w:p w14:paraId="3589D75A"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Alcorcón</w:t>
            </w:r>
          </w:p>
        </w:tc>
        <w:tc>
          <w:tcPr>
            <w:tcW w:w="1560" w:type="dxa"/>
            <w:vAlign w:val="bottom"/>
          </w:tcPr>
          <w:p w14:paraId="04175511"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5,5%</w:t>
            </w:r>
          </w:p>
        </w:tc>
        <w:tc>
          <w:tcPr>
            <w:tcW w:w="1559" w:type="dxa"/>
            <w:vAlign w:val="bottom"/>
          </w:tcPr>
          <w:p w14:paraId="0E271797"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5,6%</w:t>
            </w:r>
          </w:p>
        </w:tc>
        <w:tc>
          <w:tcPr>
            <w:tcW w:w="1559" w:type="dxa"/>
            <w:vAlign w:val="bottom"/>
          </w:tcPr>
          <w:p w14:paraId="0CC0A7FE"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5,7%</w:t>
            </w:r>
          </w:p>
        </w:tc>
      </w:tr>
      <w:tr w:rsidR="00EE22B1" w14:paraId="675997EA"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5D066E53"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Madrid</w:t>
            </w:r>
          </w:p>
        </w:tc>
        <w:tc>
          <w:tcPr>
            <w:tcW w:w="2976" w:type="dxa"/>
            <w:vAlign w:val="bottom"/>
          </w:tcPr>
          <w:p w14:paraId="5AC35C63"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Arganda del Rey</w:t>
            </w:r>
          </w:p>
        </w:tc>
        <w:tc>
          <w:tcPr>
            <w:tcW w:w="1560" w:type="dxa"/>
            <w:vAlign w:val="bottom"/>
          </w:tcPr>
          <w:p w14:paraId="13BC33EF"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362115DE"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2E50A869"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5,7%</w:t>
            </w:r>
          </w:p>
        </w:tc>
      </w:tr>
      <w:tr w:rsidR="00EE22B1" w14:paraId="064B6959"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7325C8B1"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Badajoz</w:t>
            </w:r>
          </w:p>
        </w:tc>
        <w:tc>
          <w:tcPr>
            <w:tcW w:w="2976" w:type="dxa"/>
            <w:vAlign w:val="bottom"/>
          </w:tcPr>
          <w:p w14:paraId="0B912298"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Badajoz Capital</w:t>
            </w:r>
          </w:p>
        </w:tc>
        <w:tc>
          <w:tcPr>
            <w:tcW w:w="1560" w:type="dxa"/>
            <w:vAlign w:val="bottom"/>
          </w:tcPr>
          <w:p w14:paraId="59E8D119"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5,2%</w:t>
            </w:r>
          </w:p>
        </w:tc>
        <w:tc>
          <w:tcPr>
            <w:tcW w:w="1559" w:type="dxa"/>
            <w:vAlign w:val="bottom"/>
          </w:tcPr>
          <w:p w14:paraId="53AA888B"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5,2%</w:t>
            </w:r>
          </w:p>
        </w:tc>
        <w:tc>
          <w:tcPr>
            <w:tcW w:w="1559" w:type="dxa"/>
            <w:vAlign w:val="bottom"/>
          </w:tcPr>
          <w:p w14:paraId="50451BE1"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5,7%</w:t>
            </w:r>
          </w:p>
        </w:tc>
      </w:tr>
      <w:tr w:rsidR="00EE22B1" w14:paraId="650788C5"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1615304F"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Cáceres</w:t>
            </w:r>
          </w:p>
        </w:tc>
        <w:tc>
          <w:tcPr>
            <w:tcW w:w="2976" w:type="dxa"/>
            <w:vAlign w:val="bottom"/>
          </w:tcPr>
          <w:p w14:paraId="45EB0A49"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Cáceres Capital</w:t>
            </w:r>
          </w:p>
        </w:tc>
        <w:tc>
          <w:tcPr>
            <w:tcW w:w="1560" w:type="dxa"/>
            <w:vAlign w:val="bottom"/>
          </w:tcPr>
          <w:p w14:paraId="64F66636"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5,5%</w:t>
            </w:r>
          </w:p>
        </w:tc>
        <w:tc>
          <w:tcPr>
            <w:tcW w:w="1559" w:type="dxa"/>
            <w:vAlign w:val="bottom"/>
          </w:tcPr>
          <w:p w14:paraId="5BBC21B2"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5,9%</w:t>
            </w:r>
          </w:p>
        </w:tc>
        <w:tc>
          <w:tcPr>
            <w:tcW w:w="1559" w:type="dxa"/>
            <w:vAlign w:val="bottom"/>
          </w:tcPr>
          <w:p w14:paraId="5B65A213"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5,6%</w:t>
            </w:r>
          </w:p>
        </w:tc>
      </w:tr>
      <w:tr w:rsidR="00EE22B1" w14:paraId="375A1E5B"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6D16CD8C"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Asturias</w:t>
            </w:r>
          </w:p>
        </w:tc>
        <w:tc>
          <w:tcPr>
            <w:tcW w:w="2976" w:type="dxa"/>
            <w:vAlign w:val="bottom"/>
          </w:tcPr>
          <w:p w14:paraId="1ED867DA"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Oviedo</w:t>
            </w:r>
          </w:p>
        </w:tc>
        <w:tc>
          <w:tcPr>
            <w:tcW w:w="1560" w:type="dxa"/>
            <w:vAlign w:val="bottom"/>
          </w:tcPr>
          <w:p w14:paraId="6F14D090"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5,8%</w:t>
            </w:r>
          </w:p>
        </w:tc>
        <w:tc>
          <w:tcPr>
            <w:tcW w:w="1559" w:type="dxa"/>
            <w:vAlign w:val="bottom"/>
          </w:tcPr>
          <w:p w14:paraId="0C921143"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5,6%</w:t>
            </w:r>
          </w:p>
        </w:tc>
        <w:tc>
          <w:tcPr>
            <w:tcW w:w="1559" w:type="dxa"/>
            <w:vAlign w:val="bottom"/>
          </w:tcPr>
          <w:p w14:paraId="5AACEF03"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5,6%</w:t>
            </w:r>
          </w:p>
        </w:tc>
      </w:tr>
      <w:tr w:rsidR="00EE22B1" w14:paraId="7383C33E"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174B61DA"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Cádiz</w:t>
            </w:r>
          </w:p>
        </w:tc>
        <w:tc>
          <w:tcPr>
            <w:tcW w:w="2976" w:type="dxa"/>
            <w:vAlign w:val="bottom"/>
          </w:tcPr>
          <w:p w14:paraId="41F5A50A"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Rota</w:t>
            </w:r>
          </w:p>
        </w:tc>
        <w:tc>
          <w:tcPr>
            <w:tcW w:w="1560" w:type="dxa"/>
            <w:vAlign w:val="bottom"/>
          </w:tcPr>
          <w:p w14:paraId="07C936FF"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4D4F7741"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6,1%</w:t>
            </w:r>
          </w:p>
        </w:tc>
        <w:tc>
          <w:tcPr>
            <w:tcW w:w="1559" w:type="dxa"/>
            <w:vAlign w:val="bottom"/>
          </w:tcPr>
          <w:p w14:paraId="7C9ECF4D"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5,6%</w:t>
            </w:r>
          </w:p>
        </w:tc>
      </w:tr>
      <w:tr w:rsidR="00EE22B1" w14:paraId="19F7B586"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20E60E8C"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Pontevedra</w:t>
            </w:r>
          </w:p>
        </w:tc>
        <w:tc>
          <w:tcPr>
            <w:tcW w:w="2976" w:type="dxa"/>
            <w:vAlign w:val="bottom"/>
          </w:tcPr>
          <w:p w14:paraId="34C8CF6D"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Vilagarcía de Arousa</w:t>
            </w:r>
          </w:p>
        </w:tc>
        <w:tc>
          <w:tcPr>
            <w:tcW w:w="1560" w:type="dxa"/>
            <w:vAlign w:val="bottom"/>
          </w:tcPr>
          <w:p w14:paraId="16CA55C7"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6B496A37"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7A7C9F49"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5,5%</w:t>
            </w:r>
          </w:p>
        </w:tc>
      </w:tr>
      <w:tr w:rsidR="00EE22B1" w14:paraId="147F2BEE"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4EFB8ED9"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A Coruña</w:t>
            </w:r>
          </w:p>
        </w:tc>
        <w:tc>
          <w:tcPr>
            <w:tcW w:w="2976" w:type="dxa"/>
            <w:vAlign w:val="bottom"/>
          </w:tcPr>
          <w:p w14:paraId="23A40B60"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Narón</w:t>
            </w:r>
          </w:p>
        </w:tc>
        <w:tc>
          <w:tcPr>
            <w:tcW w:w="1560" w:type="dxa"/>
            <w:vAlign w:val="bottom"/>
          </w:tcPr>
          <w:p w14:paraId="675534F8"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4ADDF8CB"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409E5066"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5,5%</w:t>
            </w:r>
          </w:p>
        </w:tc>
      </w:tr>
      <w:tr w:rsidR="00EE22B1" w14:paraId="3C08423F"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6DC4F8E3"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Alicante</w:t>
            </w:r>
          </w:p>
        </w:tc>
        <w:tc>
          <w:tcPr>
            <w:tcW w:w="2976" w:type="dxa"/>
            <w:vAlign w:val="bottom"/>
          </w:tcPr>
          <w:p w14:paraId="388D1BD8"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San Vicente del Raspeig / Sant Vicent del Raspeig</w:t>
            </w:r>
          </w:p>
        </w:tc>
        <w:tc>
          <w:tcPr>
            <w:tcW w:w="1560" w:type="dxa"/>
            <w:vAlign w:val="bottom"/>
          </w:tcPr>
          <w:p w14:paraId="1871FF38"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6,3%</w:t>
            </w:r>
          </w:p>
        </w:tc>
        <w:tc>
          <w:tcPr>
            <w:tcW w:w="1559" w:type="dxa"/>
            <w:vAlign w:val="bottom"/>
          </w:tcPr>
          <w:p w14:paraId="6858C156"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7,1%</w:t>
            </w:r>
          </w:p>
        </w:tc>
        <w:tc>
          <w:tcPr>
            <w:tcW w:w="1559" w:type="dxa"/>
            <w:vAlign w:val="bottom"/>
          </w:tcPr>
          <w:p w14:paraId="2FFDF0B6"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5,5%</w:t>
            </w:r>
          </w:p>
        </w:tc>
      </w:tr>
      <w:tr w:rsidR="00EE22B1" w14:paraId="140D8AE9"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23E23358"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Illes Balears</w:t>
            </w:r>
          </w:p>
        </w:tc>
        <w:tc>
          <w:tcPr>
            <w:tcW w:w="2976" w:type="dxa"/>
            <w:vAlign w:val="bottom"/>
          </w:tcPr>
          <w:p w14:paraId="37D8833F"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Llucmajor</w:t>
            </w:r>
          </w:p>
        </w:tc>
        <w:tc>
          <w:tcPr>
            <w:tcW w:w="1560" w:type="dxa"/>
            <w:vAlign w:val="bottom"/>
          </w:tcPr>
          <w:p w14:paraId="082FDE48"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5,3%</w:t>
            </w:r>
          </w:p>
        </w:tc>
        <w:tc>
          <w:tcPr>
            <w:tcW w:w="1559" w:type="dxa"/>
            <w:vAlign w:val="bottom"/>
          </w:tcPr>
          <w:p w14:paraId="2F6F3431"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583212F1"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5,5%</w:t>
            </w:r>
          </w:p>
        </w:tc>
      </w:tr>
      <w:tr w:rsidR="00EE22B1" w14:paraId="12853EB5"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6696BA93"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Valladolid</w:t>
            </w:r>
          </w:p>
        </w:tc>
        <w:tc>
          <w:tcPr>
            <w:tcW w:w="2976" w:type="dxa"/>
            <w:vAlign w:val="bottom"/>
          </w:tcPr>
          <w:p w14:paraId="3F808081"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Valladolid Capital</w:t>
            </w:r>
          </w:p>
        </w:tc>
        <w:tc>
          <w:tcPr>
            <w:tcW w:w="1560" w:type="dxa"/>
            <w:vAlign w:val="bottom"/>
          </w:tcPr>
          <w:p w14:paraId="3FCEAC4E"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5,2%</w:t>
            </w:r>
          </w:p>
        </w:tc>
        <w:tc>
          <w:tcPr>
            <w:tcW w:w="1559" w:type="dxa"/>
            <w:vAlign w:val="bottom"/>
          </w:tcPr>
          <w:p w14:paraId="76B50533"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5,2%</w:t>
            </w:r>
          </w:p>
        </w:tc>
        <w:tc>
          <w:tcPr>
            <w:tcW w:w="1559" w:type="dxa"/>
            <w:vAlign w:val="bottom"/>
          </w:tcPr>
          <w:p w14:paraId="19955FB4"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5,4%</w:t>
            </w:r>
          </w:p>
        </w:tc>
      </w:tr>
      <w:tr w:rsidR="00EE22B1" w14:paraId="2A1BB382"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1CC34FB7"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Jaén</w:t>
            </w:r>
          </w:p>
        </w:tc>
        <w:tc>
          <w:tcPr>
            <w:tcW w:w="2976" w:type="dxa"/>
            <w:vAlign w:val="bottom"/>
          </w:tcPr>
          <w:p w14:paraId="0BD5EE89"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Jaén Capital</w:t>
            </w:r>
          </w:p>
        </w:tc>
        <w:tc>
          <w:tcPr>
            <w:tcW w:w="1560" w:type="dxa"/>
            <w:vAlign w:val="bottom"/>
          </w:tcPr>
          <w:p w14:paraId="292CA316"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5,6%</w:t>
            </w:r>
          </w:p>
        </w:tc>
        <w:tc>
          <w:tcPr>
            <w:tcW w:w="1559" w:type="dxa"/>
            <w:vAlign w:val="bottom"/>
          </w:tcPr>
          <w:p w14:paraId="30794801"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6,3%</w:t>
            </w:r>
          </w:p>
        </w:tc>
        <w:tc>
          <w:tcPr>
            <w:tcW w:w="1559" w:type="dxa"/>
            <w:vAlign w:val="bottom"/>
          </w:tcPr>
          <w:p w14:paraId="37CC0D01"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5,4%</w:t>
            </w:r>
          </w:p>
        </w:tc>
      </w:tr>
      <w:tr w:rsidR="00EE22B1" w14:paraId="6CE03274"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03C25B65"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Málaga</w:t>
            </w:r>
          </w:p>
        </w:tc>
        <w:tc>
          <w:tcPr>
            <w:tcW w:w="2976" w:type="dxa"/>
            <w:vAlign w:val="bottom"/>
          </w:tcPr>
          <w:p w14:paraId="5238EB03"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Ronda</w:t>
            </w:r>
          </w:p>
        </w:tc>
        <w:tc>
          <w:tcPr>
            <w:tcW w:w="1560" w:type="dxa"/>
            <w:vAlign w:val="bottom"/>
          </w:tcPr>
          <w:p w14:paraId="6C9CAA34"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513A7E1B"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5,7%</w:t>
            </w:r>
          </w:p>
        </w:tc>
        <w:tc>
          <w:tcPr>
            <w:tcW w:w="1559" w:type="dxa"/>
            <w:vAlign w:val="bottom"/>
          </w:tcPr>
          <w:p w14:paraId="4C04BD55"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5,4%</w:t>
            </w:r>
          </w:p>
        </w:tc>
      </w:tr>
      <w:tr w:rsidR="00EE22B1" w14:paraId="2CAB0D73"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6FFC7E67"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Palencia</w:t>
            </w:r>
          </w:p>
        </w:tc>
        <w:tc>
          <w:tcPr>
            <w:tcW w:w="2976" w:type="dxa"/>
            <w:vAlign w:val="bottom"/>
          </w:tcPr>
          <w:p w14:paraId="448A35C5"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Palencia Capital</w:t>
            </w:r>
          </w:p>
        </w:tc>
        <w:tc>
          <w:tcPr>
            <w:tcW w:w="1560" w:type="dxa"/>
            <w:vAlign w:val="bottom"/>
          </w:tcPr>
          <w:p w14:paraId="053DA641"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5,1%</w:t>
            </w:r>
          </w:p>
        </w:tc>
        <w:tc>
          <w:tcPr>
            <w:tcW w:w="1559" w:type="dxa"/>
            <w:vAlign w:val="bottom"/>
          </w:tcPr>
          <w:p w14:paraId="291FBD5E"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6,1%</w:t>
            </w:r>
          </w:p>
        </w:tc>
        <w:tc>
          <w:tcPr>
            <w:tcW w:w="1559" w:type="dxa"/>
            <w:vAlign w:val="bottom"/>
          </w:tcPr>
          <w:p w14:paraId="41B08A01"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5,4%</w:t>
            </w:r>
          </w:p>
        </w:tc>
      </w:tr>
      <w:tr w:rsidR="00EE22B1" w14:paraId="0A2CFE4E"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392FBA63"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Córdoba</w:t>
            </w:r>
          </w:p>
        </w:tc>
        <w:tc>
          <w:tcPr>
            <w:tcW w:w="2976" w:type="dxa"/>
            <w:vAlign w:val="bottom"/>
          </w:tcPr>
          <w:p w14:paraId="770E37FC"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Córdoba Capital</w:t>
            </w:r>
          </w:p>
        </w:tc>
        <w:tc>
          <w:tcPr>
            <w:tcW w:w="1560" w:type="dxa"/>
            <w:vAlign w:val="bottom"/>
          </w:tcPr>
          <w:p w14:paraId="7786BE72"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6,0%</w:t>
            </w:r>
          </w:p>
        </w:tc>
        <w:tc>
          <w:tcPr>
            <w:tcW w:w="1559" w:type="dxa"/>
            <w:vAlign w:val="bottom"/>
          </w:tcPr>
          <w:p w14:paraId="07451E05"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5,9%</w:t>
            </w:r>
          </w:p>
        </w:tc>
        <w:tc>
          <w:tcPr>
            <w:tcW w:w="1559" w:type="dxa"/>
            <w:vAlign w:val="bottom"/>
          </w:tcPr>
          <w:p w14:paraId="019D4A03"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5,4%</w:t>
            </w:r>
          </w:p>
        </w:tc>
      </w:tr>
      <w:tr w:rsidR="00EE22B1" w14:paraId="1D80247D"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7B24A610"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Castellón</w:t>
            </w:r>
          </w:p>
        </w:tc>
        <w:tc>
          <w:tcPr>
            <w:tcW w:w="2976" w:type="dxa"/>
            <w:vAlign w:val="bottom"/>
          </w:tcPr>
          <w:p w14:paraId="4803B434"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Vinaròs</w:t>
            </w:r>
          </w:p>
        </w:tc>
        <w:tc>
          <w:tcPr>
            <w:tcW w:w="1560" w:type="dxa"/>
            <w:vAlign w:val="bottom"/>
          </w:tcPr>
          <w:p w14:paraId="5124FED7"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135150AE"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5,8%</w:t>
            </w:r>
          </w:p>
        </w:tc>
        <w:tc>
          <w:tcPr>
            <w:tcW w:w="1559" w:type="dxa"/>
            <w:vAlign w:val="bottom"/>
          </w:tcPr>
          <w:p w14:paraId="3190DD22"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5,4%</w:t>
            </w:r>
          </w:p>
        </w:tc>
      </w:tr>
      <w:tr w:rsidR="00EE22B1" w14:paraId="5C56313B"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58049FA8"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Barcelona</w:t>
            </w:r>
          </w:p>
        </w:tc>
        <w:tc>
          <w:tcPr>
            <w:tcW w:w="2976" w:type="dxa"/>
            <w:vAlign w:val="bottom"/>
          </w:tcPr>
          <w:p w14:paraId="446DDE7A"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Castelldefels</w:t>
            </w:r>
          </w:p>
        </w:tc>
        <w:tc>
          <w:tcPr>
            <w:tcW w:w="1560" w:type="dxa"/>
            <w:vAlign w:val="bottom"/>
          </w:tcPr>
          <w:p w14:paraId="45FCBE1E"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5,5%</w:t>
            </w:r>
          </w:p>
        </w:tc>
        <w:tc>
          <w:tcPr>
            <w:tcW w:w="1559" w:type="dxa"/>
            <w:vAlign w:val="bottom"/>
          </w:tcPr>
          <w:p w14:paraId="0C166FE6"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5,1%</w:t>
            </w:r>
          </w:p>
        </w:tc>
        <w:tc>
          <w:tcPr>
            <w:tcW w:w="1559" w:type="dxa"/>
            <w:vAlign w:val="bottom"/>
          </w:tcPr>
          <w:p w14:paraId="53CF8CB7"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5,3%</w:t>
            </w:r>
          </w:p>
        </w:tc>
      </w:tr>
      <w:tr w:rsidR="00EE22B1" w14:paraId="05DA6112" w14:textId="77777777" w:rsidTr="00EE22B1">
        <w:trPr>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71AB7BB9"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Alicante</w:t>
            </w:r>
          </w:p>
        </w:tc>
        <w:tc>
          <w:tcPr>
            <w:tcW w:w="2976" w:type="dxa"/>
            <w:vAlign w:val="bottom"/>
          </w:tcPr>
          <w:p w14:paraId="5AB6597F"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Jávea / Xàbia</w:t>
            </w:r>
          </w:p>
        </w:tc>
        <w:tc>
          <w:tcPr>
            <w:tcW w:w="1560" w:type="dxa"/>
            <w:vAlign w:val="bottom"/>
          </w:tcPr>
          <w:p w14:paraId="20944F8E"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74BCBC12"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4,7%</w:t>
            </w:r>
          </w:p>
        </w:tc>
        <w:tc>
          <w:tcPr>
            <w:tcW w:w="1559" w:type="dxa"/>
            <w:vAlign w:val="bottom"/>
          </w:tcPr>
          <w:p w14:paraId="0787F54E"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5,3%</w:t>
            </w:r>
          </w:p>
        </w:tc>
      </w:tr>
      <w:tr w:rsidR="00EE22B1" w14:paraId="461258D6" w14:textId="77777777" w:rsidTr="00EE22B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25CA97B4"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Pontevedra</w:t>
            </w:r>
          </w:p>
        </w:tc>
        <w:tc>
          <w:tcPr>
            <w:tcW w:w="2976" w:type="dxa"/>
            <w:vAlign w:val="bottom"/>
          </w:tcPr>
          <w:p w14:paraId="682A95A7"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Sanxenxo</w:t>
            </w:r>
          </w:p>
        </w:tc>
        <w:tc>
          <w:tcPr>
            <w:tcW w:w="1560" w:type="dxa"/>
            <w:vAlign w:val="bottom"/>
          </w:tcPr>
          <w:p w14:paraId="44BC0986"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7CC63C0F"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6,5%</w:t>
            </w:r>
          </w:p>
        </w:tc>
        <w:tc>
          <w:tcPr>
            <w:tcW w:w="1559" w:type="dxa"/>
            <w:vAlign w:val="bottom"/>
          </w:tcPr>
          <w:p w14:paraId="5BFAF83E"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5,3%</w:t>
            </w:r>
          </w:p>
        </w:tc>
      </w:tr>
      <w:tr w:rsidR="00EE22B1" w14:paraId="7FC797F7" w14:textId="77777777" w:rsidTr="00EE22B1">
        <w:trPr>
          <w:trHeight w:val="258"/>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48E6DC50"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Cantabria</w:t>
            </w:r>
          </w:p>
        </w:tc>
        <w:tc>
          <w:tcPr>
            <w:tcW w:w="2976" w:type="dxa"/>
            <w:vAlign w:val="bottom"/>
          </w:tcPr>
          <w:p w14:paraId="5B9EC958"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Noja</w:t>
            </w:r>
          </w:p>
        </w:tc>
        <w:tc>
          <w:tcPr>
            <w:tcW w:w="1560" w:type="dxa"/>
            <w:vAlign w:val="bottom"/>
          </w:tcPr>
          <w:p w14:paraId="759F1E77"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7460B1D7"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3C9373A0"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5,2%</w:t>
            </w:r>
          </w:p>
        </w:tc>
      </w:tr>
      <w:tr w:rsidR="00EE22B1" w14:paraId="7C9082EC" w14:textId="77777777" w:rsidTr="00EE22B1">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271DCC94"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Málaga</w:t>
            </w:r>
          </w:p>
        </w:tc>
        <w:tc>
          <w:tcPr>
            <w:tcW w:w="2976" w:type="dxa"/>
            <w:vAlign w:val="bottom"/>
          </w:tcPr>
          <w:p w14:paraId="3D3E0855"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Antequera</w:t>
            </w:r>
          </w:p>
        </w:tc>
        <w:tc>
          <w:tcPr>
            <w:tcW w:w="1560" w:type="dxa"/>
            <w:vAlign w:val="bottom"/>
          </w:tcPr>
          <w:p w14:paraId="0FD2720F"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176E6060"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0073FBD3"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5,2%</w:t>
            </w:r>
          </w:p>
        </w:tc>
      </w:tr>
      <w:tr w:rsidR="00EE22B1" w14:paraId="27B5E6DF" w14:textId="77777777" w:rsidTr="00EE22B1">
        <w:trPr>
          <w:trHeight w:val="252"/>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4EFB9D8F"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Araba - Álava</w:t>
            </w:r>
          </w:p>
        </w:tc>
        <w:tc>
          <w:tcPr>
            <w:tcW w:w="2976" w:type="dxa"/>
            <w:vAlign w:val="bottom"/>
          </w:tcPr>
          <w:p w14:paraId="25D845B3"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Vitoria - Gasteiz</w:t>
            </w:r>
          </w:p>
        </w:tc>
        <w:tc>
          <w:tcPr>
            <w:tcW w:w="1560" w:type="dxa"/>
            <w:vAlign w:val="bottom"/>
          </w:tcPr>
          <w:p w14:paraId="74F6BA31"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3851E5A8"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4,8%</w:t>
            </w:r>
          </w:p>
        </w:tc>
        <w:tc>
          <w:tcPr>
            <w:tcW w:w="1559" w:type="dxa"/>
            <w:vAlign w:val="bottom"/>
          </w:tcPr>
          <w:p w14:paraId="38E4419D"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5,2%</w:t>
            </w:r>
          </w:p>
        </w:tc>
      </w:tr>
      <w:tr w:rsidR="00EE22B1" w14:paraId="24A2CD98" w14:textId="77777777" w:rsidTr="00EE22B1">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0866D3C1"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Cantabria</w:t>
            </w:r>
          </w:p>
        </w:tc>
        <w:tc>
          <w:tcPr>
            <w:tcW w:w="2976" w:type="dxa"/>
            <w:vAlign w:val="bottom"/>
          </w:tcPr>
          <w:p w14:paraId="6BD64550"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Santander</w:t>
            </w:r>
          </w:p>
        </w:tc>
        <w:tc>
          <w:tcPr>
            <w:tcW w:w="1560" w:type="dxa"/>
            <w:vAlign w:val="bottom"/>
          </w:tcPr>
          <w:p w14:paraId="162E02BB"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5,0%</w:t>
            </w:r>
          </w:p>
        </w:tc>
        <w:tc>
          <w:tcPr>
            <w:tcW w:w="1559" w:type="dxa"/>
            <w:vAlign w:val="bottom"/>
          </w:tcPr>
          <w:p w14:paraId="7E2B6C5D"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5,3%</w:t>
            </w:r>
          </w:p>
        </w:tc>
        <w:tc>
          <w:tcPr>
            <w:tcW w:w="1559" w:type="dxa"/>
            <w:vAlign w:val="bottom"/>
          </w:tcPr>
          <w:p w14:paraId="62E920F9"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5,2%</w:t>
            </w:r>
          </w:p>
        </w:tc>
      </w:tr>
      <w:tr w:rsidR="00EE22B1" w14:paraId="55239076" w14:textId="77777777" w:rsidTr="00EE22B1">
        <w:trPr>
          <w:trHeight w:val="212"/>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14B61198"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Madrid</w:t>
            </w:r>
          </w:p>
        </w:tc>
        <w:tc>
          <w:tcPr>
            <w:tcW w:w="2976" w:type="dxa"/>
            <w:vAlign w:val="bottom"/>
          </w:tcPr>
          <w:p w14:paraId="27CDB1BD"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Rivas-Vaciamadrid</w:t>
            </w:r>
          </w:p>
        </w:tc>
        <w:tc>
          <w:tcPr>
            <w:tcW w:w="1560" w:type="dxa"/>
            <w:vAlign w:val="bottom"/>
          </w:tcPr>
          <w:p w14:paraId="19285802"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3BC50EFB"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11DC8D40"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5,2%</w:t>
            </w:r>
          </w:p>
        </w:tc>
      </w:tr>
      <w:tr w:rsidR="00EE22B1" w14:paraId="3ABB9FAB" w14:textId="77777777" w:rsidTr="00EE22B1">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5069F242"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Barcelona</w:t>
            </w:r>
          </w:p>
        </w:tc>
        <w:tc>
          <w:tcPr>
            <w:tcW w:w="2976" w:type="dxa"/>
            <w:vAlign w:val="bottom"/>
          </w:tcPr>
          <w:p w14:paraId="0B7F9D54"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Vic</w:t>
            </w:r>
          </w:p>
        </w:tc>
        <w:tc>
          <w:tcPr>
            <w:tcW w:w="1560" w:type="dxa"/>
            <w:vAlign w:val="bottom"/>
          </w:tcPr>
          <w:p w14:paraId="39C360B4"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1761B448"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5,5%</w:t>
            </w:r>
          </w:p>
        </w:tc>
        <w:tc>
          <w:tcPr>
            <w:tcW w:w="1559" w:type="dxa"/>
            <w:vAlign w:val="bottom"/>
          </w:tcPr>
          <w:p w14:paraId="1A4DEE4C"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5,2%</w:t>
            </w:r>
          </w:p>
        </w:tc>
      </w:tr>
      <w:tr w:rsidR="00EE22B1" w14:paraId="5B4DD5B3" w14:textId="77777777" w:rsidTr="00EE22B1">
        <w:trPr>
          <w:trHeight w:val="250"/>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4AE93697"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Albacete</w:t>
            </w:r>
          </w:p>
        </w:tc>
        <w:tc>
          <w:tcPr>
            <w:tcW w:w="2976" w:type="dxa"/>
            <w:vAlign w:val="bottom"/>
          </w:tcPr>
          <w:p w14:paraId="6FE02607"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Albacete Capital</w:t>
            </w:r>
          </w:p>
        </w:tc>
        <w:tc>
          <w:tcPr>
            <w:tcW w:w="1560" w:type="dxa"/>
            <w:vAlign w:val="bottom"/>
          </w:tcPr>
          <w:p w14:paraId="051FDF52"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5,6%</w:t>
            </w:r>
          </w:p>
        </w:tc>
        <w:tc>
          <w:tcPr>
            <w:tcW w:w="1559" w:type="dxa"/>
            <w:vAlign w:val="bottom"/>
          </w:tcPr>
          <w:p w14:paraId="32C6FB2C"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5,3%</w:t>
            </w:r>
          </w:p>
        </w:tc>
        <w:tc>
          <w:tcPr>
            <w:tcW w:w="1559" w:type="dxa"/>
            <w:vAlign w:val="bottom"/>
          </w:tcPr>
          <w:p w14:paraId="169E8B2C"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5,2%</w:t>
            </w:r>
          </w:p>
        </w:tc>
      </w:tr>
      <w:tr w:rsidR="00EE22B1" w14:paraId="7CEF18DE" w14:textId="77777777" w:rsidTr="00EE22B1">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540C0F24"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Almería</w:t>
            </w:r>
          </w:p>
        </w:tc>
        <w:tc>
          <w:tcPr>
            <w:tcW w:w="2976" w:type="dxa"/>
            <w:vAlign w:val="bottom"/>
          </w:tcPr>
          <w:p w14:paraId="6DADAD1F"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Mojácar</w:t>
            </w:r>
          </w:p>
        </w:tc>
        <w:tc>
          <w:tcPr>
            <w:tcW w:w="1560" w:type="dxa"/>
            <w:vAlign w:val="bottom"/>
          </w:tcPr>
          <w:p w14:paraId="3AD75E52"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734A4488"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0333FFF5"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5,1%</w:t>
            </w:r>
          </w:p>
        </w:tc>
      </w:tr>
      <w:tr w:rsidR="00EE22B1" w14:paraId="3027CE97" w14:textId="77777777" w:rsidTr="00EE22B1">
        <w:trPr>
          <w:trHeight w:val="200"/>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7B99E5B2"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lastRenderedPageBreak/>
              <w:t>Santa Cruz de Tenerife</w:t>
            </w:r>
          </w:p>
        </w:tc>
        <w:tc>
          <w:tcPr>
            <w:tcW w:w="2976" w:type="dxa"/>
            <w:vAlign w:val="bottom"/>
          </w:tcPr>
          <w:p w14:paraId="5A0DE7E8"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Santiago del Teide</w:t>
            </w:r>
          </w:p>
        </w:tc>
        <w:tc>
          <w:tcPr>
            <w:tcW w:w="1560" w:type="dxa"/>
            <w:vAlign w:val="bottom"/>
          </w:tcPr>
          <w:p w14:paraId="62868E10"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5F04F365"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5BFA65FF"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5,1%</w:t>
            </w:r>
          </w:p>
        </w:tc>
      </w:tr>
      <w:tr w:rsidR="00EE22B1" w14:paraId="4AEA649F" w14:textId="77777777" w:rsidTr="00EE22B1">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022D405D"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Murcia</w:t>
            </w:r>
          </w:p>
        </w:tc>
        <w:tc>
          <w:tcPr>
            <w:tcW w:w="2976" w:type="dxa"/>
            <w:vAlign w:val="bottom"/>
          </w:tcPr>
          <w:p w14:paraId="1D0AEA88"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San Pedro del Pinatar</w:t>
            </w:r>
          </w:p>
        </w:tc>
        <w:tc>
          <w:tcPr>
            <w:tcW w:w="1560" w:type="dxa"/>
            <w:vAlign w:val="bottom"/>
          </w:tcPr>
          <w:p w14:paraId="46D42678"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53D4A9E0"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2085DFE0"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5,1%</w:t>
            </w:r>
          </w:p>
        </w:tc>
      </w:tr>
      <w:tr w:rsidR="00EE22B1" w14:paraId="027767DA" w14:textId="77777777" w:rsidTr="00EE22B1">
        <w:trPr>
          <w:trHeight w:val="248"/>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1D231635"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Cádiz</w:t>
            </w:r>
          </w:p>
        </w:tc>
        <w:tc>
          <w:tcPr>
            <w:tcW w:w="2976" w:type="dxa"/>
            <w:vAlign w:val="bottom"/>
          </w:tcPr>
          <w:p w14:paraId="6617BF0D"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Barbate</w:t>
            </w:r>
          </w:p>
        </w:tc>
        <w:tc>
          <w:tcPr>
            <w:tcW w:w="1560" w:type="dxa"/>
            <w:vAlign w:val="bottom"/>
          </w:tcPr>
          <w:p w14:paraId="380940B9"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5604BB5E"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5,2%</w:t>
            </w:r>
          </w:p>
        </w:tc>
        <w:tc>
          <w:tcPr>
            <w:tcW w:w="1559" w:type="dxa"/>
            <w:vAlign w:val="bottom"/>
          </w:tcPr>
          <w:p w14:paraId="0E94EDE7"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5,1%</w:t>
            </w:r>
          </w:p>
        </w:tc>
      </w:tr>
      <w:tr w:rsidR="00EE22B1" w14:paraId="4E2A251B" w14:textId="77777777" w:rsidTr="00EE22B1">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39D7BAC3"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Alicante</w:t>
            </w:r>
          </w:p>
        </w:tc>
        <w:tc>
          <w:tcPr>
            <w:tcW w:w="2976" w:type="dxa"/>
            <w:vAlign w:val="bottom"/>
          </w:tcPr>
          <w:p w14:paraId="242496E5"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El Campello</w:t>
            </w:r>
          </w:p>
        </w:tc>
        <w:tc>
          <w:tcPr>
            <w:tcW w:w="1560" w:type="dxa"/>
            <w:vAlign w:val="bottom"/>
          </w:tcPr>
          <w:p w14:paraId="2ABDA7AF"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48D6ABE8"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5,0%</w:t>
            </w:r>
          </w:p>
        </w:tc>
        <w:tc>
          <w:tcPr>
            <w:tcW w:w="1559" w:type="dxa"/>
            <w:vAlign w:val="bottom"/>
          </w:tcPr>
          <w:p w14:paraId="6E8DBA1F"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5,1%</w:t>
            </w:r>
          </w:p>
        </w:tc>
      </w:tr>
      <w:tr w:rsidR="00EE22B1" w14:paraId="05C6C2EB" w14:textId="77777777" w:rsidTr="00EE22B1">
        <w:trPr>
          <w:trHeight w:val="248"/>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41DE61BD"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Asturias</w:t>
            </w:r>
          </w:p>
        </w:tc>
        <w:tc>
          <w:tcPr>
            <w:tcW w:w="2976" w:type="dxa"/>
            <w:vAlign w:val="bottom"/>
          </w:tcPr>
          <w:p w14:paraId="0B585CD7"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Gijón</w:t>
            </w:r>
          </w:p>
        </w:tc>
        <w:tc>
          <w:tcPr>
            <w:tcW w:w="1560" w:type="dxa"/>
            <w:vAlign w:val="bottom"/>
          </w:tcPr>
          <w:p w14:paraId="57EE5B07"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5,9%</w:t>
            </w:r>
          </w:p>
        </w:tc>
        <w:tc>
          <w:tcPr>
            <w:tcW w:w="1559" w:type="dxa"/>
            <w:vAlign w:val="bottom"/>
          </w:tcPr>
          <w:p w14:paraId="6E26FAD9"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5,4%</w:t>
            </w:r>
          </w:p>
        </w:tc>
        <w:tc>
          <w:tcPr>
            <w:tcW w:w="1559" w:type="dxa"/>
            <w:vAlign w:val="bottom"/>
          </w:tcPr>
          <w:p w14:paraId="687258D5"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5,1%</w:t>
            </w:r>
          </w:p>
        </w:tc>
      </w:tr>
      <w:tr w:rsidR="00EE22B1" w14:paraId="2E3A0E74" w14:textId="77777777" w:rsidTr="00EE22B1">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35305530"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Granada</w:t>
            </w:r>
          </w:p>
        </w:tc>
        <w:tc>
          <w:tcPr>
            <w:tcW w:w="2976" w:type="dxa"/>
            <w:vAlign w:val="bottom"/>
          </w:tcPr>
          <w:p w14:paraId="1A40E589"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Armilla</w:t>
            </w:r>
          </w:p>
        </w:tc>
        <w:tc>
          <w:tcPr>
            <w:tcW w:w="1560" w:type="dxa"/>
            <w:vAlign w:val="bottom"/>
          </w:tcPr>
          <w:p w14:paraId="46B27D1B"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5,0%</w:t>
            </w:r>
          </w:p>
        </w:tc>
        <w:tc>
          <w:tcPr>
            <w:tcW w:w="1559" w:type="dxa"/>
            <w:vAlign w:val="bottom"/>
          </w:tcPr>
          <w:p w14:paraId="48764176"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4,6%</w:t>
            </w:r>
          </w:p>
        </w:tc>
        <w:tc>
          <w:tcPr>
            <w:tcW w:w="1559" w:type="dxa"/>
            <w:vAlign w:val="bottom"/>
          </w:tcPr>
          <w:p w14:paraId="7BBA1EBC"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5,1%</w:t>
            </w:r>
          </w:p>
        </w:tc>
      </w:tr>
      <w:tr w:rsidR="00EE22B1" w14:paraId="4D0C9150" w14:textId="77777777" w:rsidTr="00EE22B1">
        <w:trPr>
          <w:trHeight w:val="248"/>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0449513C"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Castellón</w:t>
            </w:r>
          </w:p>
        </w:tc>
        <w:tc>
          <w:tcPr>
            <w:tcW w:w="2976" w:type="dxa"/>
            <w:vAlign w:val="bottom"/>
          </w:tcPr>
          <w:p w14:paraId="0BBE1D27"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Peñíscola / Peníscola</w:t>
            </w:r>
          </w:p>
        </w:tc>
        <w:tc>
          <w:tcPr>
            <w:tcW w:w="1560" w:type="dxa"/>
            <w:vAlign w:val="bottom"/>
          </w:tcPr>
          <w:p w14:paraId="1771170B"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688DCB79"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5,5%</w:t>
            </w:r>
          </w:p>
        </w:tc>
        <w:tc>
          <w:tcPr>
            <w:tcW w:w="1559" w:type="dxa"/>
            <w:vAlign w:val="bottom"/>
          </w:tcPr>
          <w:p w14:paraId="22C3CFEE"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5,1%</w:t>
            </w:r>
          </w:p>
        </w:tc>
      </w:tr>
      <w:tr w:rsidR="00EE22B1" w14:paraId="6286509A" w14:textId="77777777" w:rsidTr="00EE22B1">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762F7836"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Alicante</w:t>
            </w:r>
          </w:p>
        </w:tc>
        <w:tc>
          <w:tcPr>
            <w:tcW w:w="2976" w:type="dxa"/>
            <w:vAlign w:val="bottom"/>
          </w:tcPr>
          <w:p w14:paraId="16239AC4"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Altea</w:t>
            </w:r>
          </w:p>
        </w:tc>
        <w:tc>
          <w:tcPr>
            <w:tcW w:w="1560" w:type="dxa"/>
            <w:vAlign w:val="bottom"/>
          </w:tcPr>
          <w:p w14:paraId="6EF52173"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4D112739"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4,6%</w:t>
            </w:r>
          </w:p>
        </w:tc>
        <w:tc>
          <w:tcPr>
            <w:tcW w:w="1559" w:type="dxa"/>
            <w:vAlign w:val="bottom"/>
          </w:tcPr>
          <w:p w14:paraId="261A85A8"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5,1%</w:t>
            </w:r>
          </w:p>
        </w:tc>
      </w:tr>
      <w:tr w:rsidR="00EE22B1" w14:paraId="2DC77657" w14:textId="77777777" w:rsidTr="00EE22B1">
        <w:trPr>
          <w:trHeight w:val="248"/>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55CF043A"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La Rioja</w:t>
            </w:r>
          </w:p>
        </w:tc>
        <w:tc>
          <w:tcPr>
            <w:tcW w:w="2976" w:type="dxa"/>
            <w:vAlign w:val="bottom"/>
          </w:tcPr>
          <w:p w14:paraId="01E20E93"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Logroño</w:t>
            </w:r>
          </w:p>
        </w:tc>
        <w:tc>
          <w:tcPr>
            <w:tcW w:w="1560" w:type="dxa"/>
            <w:vAlign w:val="bottom"/>
          </w:tcPr>
          <w:p w14:paraId="5855C749"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5,4%</w:t>
            </w:r>
          </w:p>
        </w:tc>
        <w:tc>
          <w:tcPr>
            <w:tcW w:w="1559" w:type="dxa"/>
            <w:vAlign w:val="bottom"/>
          </w:tcPr>
          <w:p w14:paraId="6DCB29F7"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5,3%</w:t>
            </w:r>
          </w:p>
        </w:tc>
        <w:tc>
          <w:tcPr>
            <w:tcW w:w="1559" w:type="dxa"/>
            <w:vAlign w:val="bottom"/>
          </w:tcPr>
          <w:p w14:paraId="2615CF89"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5,0%</w:t>
            </w:r>
          </w:p>
        </w:tc>
      </w:tr>
      <w:tr w:rsidR="00EE22B1" w14:paraId="155C0D15" w14:textId="77777777" w:rsidTr="00EE22B1">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5813AA97"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Bizkaia</w:t>
            </w:r>
          </w:p>
        </w:tc>
        <w:tc>
          <w:tcPr>
            <w:tcW w:w="2976" w:type="dxa"/>
            <w:vAlign w:val="bottom"/>
          </w:tcPr>
          <w:p w14:paraId="05844B89"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Bilbao</w:t>
            </w:r>
          </w:p>
        </w:tc>
        <w:tc>
          <w:tcPr>
            <w:tcW w:w="1560" w:type="dxa"/>
            <w:vAlign w:val="bottom"/>
          </w:tcPr>
          <w:p w14:paraId="3F5270BB"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4,6%</w:t>
            </w:r>
          </w:p>
        </w:tc>
        <w:tc>
          <w:tcPr>
            <w:tcW w:w="1559" w:type="dxa"/>
            <w:vAlign w:val="bottom"/>
          </w:tcPr>
          <w:p w14:paraId="58BB84FB"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5,2%</w:t>
            </w:r>
          </w:p>
        </w:tc>
        <w:tc>
          <w:tcPr>
            <w:tcW w:w="1559" w:type="dxa"/>
            <w:vAlign w:val="bottom"/>
          </w:tcPr>
          <w:p w14:paraId="2CE9833A"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5,0%</w:t>
            </w:r>
          </w:p>
        </w:tc>
      </w:tr>
      <w:tr w:rsidR="00EE22B1" w14:paraId="3EE3FD10" w14:textId="77777777" w:rsidTr="00EE22B1">
        <w:trPr>
          <w:trHeight w:val="248"/>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076E9D46"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Alicante</w:t>
            </w:r>
          </w:p>
        </w:tc>
        <w:tc>
          <w:tcPr>
            <w:tcW w:w="2976" w:type="dxa"/>
            <w:vAlign w:val="bottom"/>
          </w:tcPr>
          <w:p w14:paraId="39943436"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Torrevieja</w:t>
            </w:r>
          </w:p>
        </w:tc>
        <w:tc>
          <w:tcPr>
            <w:tcW w:w="1560" w:type="dxa"/>
            <w:vAlign w:val="bottom"/>
          </w:tcPr>
          <w:p w14:paraId="05A3D4C9"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5,8%</w:t>
            </w:r>
          </w:p>
        </w:tc>
        <w:tc>
          <w:tcPr>
            <w:tcW w:w="1559" w:type="dxa"/>
            <w:vAlign w:val="bottom"/>
          </w:tcPr>
          <w:p w14:paraId="7926DC56"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5,4%</w:t>
            </w:r>
          </w:p>
        </w:tc>
        <w:tc>
          <w:tcPr>
            <w:tcW w:w="1559" w:type="dxa"/>
            <w:vAlign w:val="bottom"/>
          </w:tcPr>
          <w:p w14:paraId="62DFCDB8"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5,0%</w:t>
            </w:r>
          </w:p>
        </w:tc>
      </w:tr>
      <w:tr w:rsidR="00EE22B1" w14:paraId="43E7D687" w14:textId="77777777" w:rsidTr="00EE22B1">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4B7013E5"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Murcia</w:t>
            </w:r>
          </w:p>
        </w:tc>
        <w:tc>
          <w:tcPr>
            <w:tcW w:w="2976" w:type="dxa"/>
            <w:vAlign w:val="bottom"/>
          </w:tcPr>
          <w:p w14:paraId="25B8242A"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La Manga del Mar Menor</w:t>
            </w:r>
          </w:p>
        </w:tc>
        <w:tc>
          <w:tcPr>
            <w:tcW w:w="1560" w:type="dxa"/>
            <w:vAlign w:val="bottom"/>
          </w:tcPr>
          <w:p w14:paraId="24502F49"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3332B6B2"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6,4%</w:t>
            </w:r>
          </w:p>
        </w:tc>
        <w:tc>
          <w:tcPr>
            <w:tcW w:w="1559" w:type="dxa"/>
            <w:vAlign w:val="bottom"/>
          </w:tcPr>
          <w:p w14:paraId="3B97A6D4"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5,0%</w:t>
            </w:r>
          </w:p>
        </w:tc>
      </w:tr>
      <w:tr w:rsidR="00EE22B1" w14:paraId="0B4390CA" w14:textId="77777777" w:rsidTr="00EE22B1">
        <w:trPr>
          <w:trHeight w:val="248"/>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301DC5C5"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Madrid</w:t>
            </w:r>
          </w:p>
        </w:tc>
        <w:tc>
          <w:tcPr>
            <w:tcW w:w="2976" w:type="dxa"/>
            <w:vAlign w:val="bottom"/>
          </w:tcPr>
          <w:p w14:paraId="0138F069"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Alcobendas</w:t>
            </w:r>
          </w:p>
        </w:tc>
        <w:tc>
          <w:tcPr>
            <w:tcW w:w="1560" w:type="dxa"/>
            <w:vAlign w:val="bottom"/>
          </w:tcPr>
          <w:p w14:paraId="006B9775"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4,9%</w:t>
            </w:r>
          </w:p>
        </w:tc>
        <w:tc>
          <w:tcPr>
            <w:tcW w:w="1559" w:type="dxa"/>
            <w:vAlign w:val="bottom"/>
          </w:tcPr>
          <w:p w14:paraId="3A9E1688"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5,8%</w:t>
            </w:r>
          </w:p>
        </w:tc>
        <w:tc>
          <w:tcPr>
            <w:tcW w:w="1559" w:type="dxa"/>
            <w:vAlign w:val="bottom"/>
          </w:tcPr>
          <w:p w14:paraId="5DD33921"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5,0%</w:t>
            </w:r>
          </w:p>
        </w:tc>
      </w:tr>
      <w:tr w:rsidR="00EE22B1" w14:paraId="647EBDD9" w14:textId="77777777" w:rsidTr="00EE22B1">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3A165B24"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Cádiz</w:t>
            </w:r>
          </w:p>
        </w:tc>
        <w:tc>
          <w:tcPr>
            <w:tcW w:w="2976" w:type="dxa"/>
            <w:vAlign w:val="bottom"/>
          </w:tcPr>
          <w:p w14:paraId="06B3520B"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Chipiona</w:t>
            </w:r>
          </w:p>
        </w:tc>
        <w:tc>
          <w:tcPr>
            <w:tcW w:w="1560" w:type="dxa"/>
            <w:vAlign w:val="bottom"/>
          </w:tcPr>
          <w:p w14:paraId="285F1AEF"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6398F95F"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4,8%</w:t>
            </w:r>
          </w:p>
        </w:tc>
        <w:tc>
          <w:tcPr>
            <w:tcW w:w="1559" w:type="dxa"/>
            <w:vAlign w:val="bottom"/>
          </w:tcPr>
          <w:p w14:paraId="7EA39457"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5,0%</w:t>
            </w:r>
          </w:p>
        </w:tc>
      </w:tr>
      <w:tr w:rsidR="00EE22B1" w14:paraId="131996C8" w14:textId="77777777" w:rsidTr="00EE22B1">
        <w:trPr>
          <w:trHeight w:val="383"/>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6D460B91"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León</w:t>
            </w:r>
          </w:p>
        </w:tc>
        <w:tc>
          <w:tcPr>
            <w:tcW w:w="2976" w:type="dxa"/>
            <w:vAlign w:val="bottom"/>
          </w:tcPr>
          <w:p w14:paraId="33369C6F"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León Capital</w:t>
            </w:r>
          </w:p>
        </w:tc>
        <w:tc>
          <w:tcPr>
            <w:tcW w:w="1560" w:type="dxa"/>
            <w:vAlign w:val="bottom"/>
          </w:tcPr>
          <w:p w14:paraId="511C1162"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5,1%</w:t>
            </w:r>
          </w:p>
        </w:tc>
        <w:tc>
          <w:tcPr>
            <w:tcW w:w="1559" w:type="dxa"/>
            <w:vAlign w:val="bottom"/>
          </w:tcPr>
          <w:p w14:paraId="3CD3CC3F"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5,5%</w:t>
            </w:r>
          </w:p>
        </w:tc>
        <w:tc>
          <w:tcPr>
            <w:tcW w:w="1559" w:type="dxa"/>
            <w:vAlign w:val="bottom"/>
          </w:tcPr>
          <w:p w14:paraId="244F5917"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4,9%</w:t>
            </w:r>
          </w:p>
        </w:tc>
      </w:tr>
      <w:tr w:rsidR="00EE22B1" w14:paraId="1F0210A9" w14:textId="77777777" w:rsidTr="00EE22B1">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57BA3ED0"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Navarra</w:t>
            </w:r>
          </w:p>
        </w:tc>
        <w:tc>
          <w:tcPr>
            <w:tcW w:w="2976" w:type="dxa"/>
            <w:vAlign w:val="bottom"/>
          </w:tcPr>
          <w:p w14:paraId="1F088855"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Pamplona / Iruña</w:t>
            </w:r>
          </w:p>
        </w:tc>
        <w:tc>
          <w:tcPr>
            <w:tcW w:w="1560" w:type="dxa"/>
            <w:vAlign w:val="bottom"/>
          </w:tcPr>
          <w:p w14:paraId="2562E565"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4,9%</w:t>
            </w:r>
          </w:p>
        </w:tc>
        <w:tc>
          <w:tcPr>
            <w:tcW w:w="1559" w:type="dxa"/>
            <w:vAlign w:val="bottom"/>
          </w:tcPr>
          <w:p w14:paraId="5E07163A"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4,9%</w:t>
            </w:r>
          </w:p>
        </w:tc>
        <w:tc>
          <w:tcPr>
            <w:tcW w:w="1559" w:type="dxa"/>
            <w:vAlign w:val="bottom"/>
          </w:tcPr>
          <w:p w14:paraId="50EC944C"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4,9%</w:t>
            </w:r>
          </w:p>
        </w:tc>
      </w:tr>
      <w:tr w:rsidR="00EE22B1" w14:paraId="40AC65B9" w14:textId="77777777" w:rsidTr="00EE22B1">
        <w:trPr>
          <w:trHeight w:val="276"/>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2D45F033"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Granada</w:t>
            </w:r>
          </w:p>
        </w:tc>
        <w:tc>
          <w:tcPr>
            <w:tcW w:w="2976" w:type="dxa"/>
            <w:vAlign w:val="bottom"/>
          </w:tcPr>
          <w:p w14:paraId="6F1C8EF8"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Motril</w:t>
            </w:r>
          </w:p>
        </w:tc>
        <w:tc>
          <w:tcPr>
            <w:tcW w:w="1560" w:type="dxa"/>
            <w:vAlign w:val="bottom"/>
          </w:tcPr>
          <w:p w14:paraId="35A5B402"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30F78A91"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5,8%</w:t>
            </w:r>
          </w:p>
        </w:tc>
        <w:tc>
          <w:tcPr>
            <w:tcW w:w="1559" w:type="dxa"/>
            <w:vAlign w:val="bottom"/>
          </w:tcPr>
          <w:p w14:paraId="238BAE5A"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4,9%</w:t>
            </w:r>
          </w:p>
        </w:tc>
      </w:tr>
      <w:tr w:rsidR="00EE22B1" w14:paraId="520F217C" w14:textId="77777777" w:rsidTr="00EE22B1">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30C7386F"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Alicante</w:t>
            </w:r>
          </w:p>
        </w:tc>
        <w:tc>
          <w:tcPr>
            <w:tcW w:w="2976" w:type="dxa"/>
            <w:vAlign w:val="bottom"/>
          </w:tcPr>
          <w:p w14:paraId="65CCC613"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Finestrat</w:t>
            </w:r>
          </w:p>
        </w:tc>
        <w:tc>
          <w:tcPr>
            <w:tcW w:w="1560" w:type="dxa"/>
            <w:vAlign w:val="bottom"/>
          </w:tcPr>
          <w:p w14:paraId="7BD7B93D"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1DEA6068"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5,2%</w:t>
            </w:r>
          </w:p>
        </w:tc>
        <w:tc>
          <w:tcPr>
            <w:tcW w:w="1559" w:type="dxa"/>
            <w:vAlign w:val="bottom"/>
          </w:tcPr>
          <w:p w14:paraId="43814A60"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4,9%</w:t>
            </w:r>
          </w:p>
        </w:tc>
      </w:tr>
      <w:tr w:rsidR="00EE22B1" w14:paraId="0B547DD6" w14:textId="77777777" w:rsidTr="00EE22B1">
        <w:trPr>
          <w:trHeight w:val="228"/>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29847F5E"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Barcelona</w:t>
            </w:r>
          </w:p>
        </w:tc>
        <w:tc>
          <w:tcPr>
            <w:tcW w:w="2976" w:type="dxa"/>
            <w:vAlign w:val="bottom"/>
          </w:tcPr>
          <w:p w14:paraId="5B171383"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Barcelona Capital</w:t>
            </w:r>
          </w:p>
        </w:tc>
        <w:tc>
          <w:tcPr>
            <w:tcW w:w="1560" w:type="dxa"/>
            <w:vAlign w:val="bottom"/>
          </w:tcPr>
          <w:p w14:paraId="1F5464AE"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4,2%</w:t>
            </w:r>
          </w:p>
        </w:tc>
        <w:tc>
          <w:tcPr>
            <w:tcW w:w="1559" w:type="dxa"/>
            <w:vAlign w:val="bottom"/>
          </w:tcPr>
          <w:p w14:paraId="03A723C2"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5,4%</w:t>
            </w:r>
          </w:p>
        </w:tc>
        <w:tc>
          <w:tcPr>
            <w:tcW w:w="1559" w:type="dxa"/>
            <w:vAlign w:val="bottom"/>
          </w:tcPr>
          <w:p w14:paraId="3E1373F6"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4,9%</w:t>
            </w:r>
          </w:p>
        </w:tc>
      </w:tr>
      <w:tr w:rsidR="00EE22B1" w14:paraId="53BFC1A7" w14:textId="77777777" w:rsidTr="00EE22B1">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436C2993"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Salamanca</w:t>
            </w:r>
          </w:p>
        </w:tc>
        <w:tc>
          <w:tcPr>
            <w:tcW w:w="2976" w:type="dxa"/>
            <w:vAlign w:val="bottom"/>
          </w:tcPr>
          <w:p w14:paraId="2783B409"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Salamanca Capital</w:t>
            </w:r>
          </w:p>
        </w:tc>
        <w:tc>
          <w:tcPr>
            <w:tcW w:w="1560" w:type="dxa"/>
            <w:vAlign w:val="bottom"/>
          </w:tcPr>
          <w:p w14:paraId="029E89A0"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5,1%</w:t>
            </w:r>
          </w:p>
        </w:tc>
        <w:tc>
          <w:tcPr>
            <w:tcW w:w="1559" w:type="dxa"/>
            <w:vAlign w:val="bottom"/>
          </w:tcPr>
          <w:p w14:paraId="17127620"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5,3%</w:t>
            </w:r>
          </w:p>
        </w:tc>
        <w:tc>
          <w:tcPr>
            <w:tcW w:w="1559" w:type="dxa"/>
            <w:vAlign w:val="bottom"/>
          </w:tcPr>
          <w:p w14:paraId="3A4A698B"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4,8%</w:t>
            </w:r>
          </w:p>
        </w:tc>
      </w:tr>
      <w:tr w:rsidR="00EE22B1" w14:paraId="151DB766" w14:textId="77777777" w:rsidTr="00EE22B1">
        <w:trPr>
          <w:trHeight w:val="26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7E74FA6E"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Santa Cruz de Tenerife</w:t>
            </w:r>
          </w:p>
        </w:tc>
        <w:tc>
          <w:tcPr>
            <w:tcW w:w="2976" w:type="dxa"/>
            <w:vAlign w:val="bottom"/>
          </w:tcPr>
          <w:p w14:paraId="68B85B33"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Adeje</w:t>
            </w:r>
          </w:p>
        </w:tc>
        <w:tc>
          <w:tcPr>
            <w:tcW w:w="1560" w:type="dxa"/>
            <w:vAlign w:val="bottom"/>
          </w:tcPr>
          <w:p w14:paraId="038F9C82"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5,1%</w:t>
            </w:r>
          </w:p>
        </w:tc>
        <w:tc>
          <w:tcPr>
            <w:tcW w:w="1559" w:type="dxa"/>
            <w:vAlign w:val="bottom"/>
          </w:tcPr>
          <w:p w14:paraId="3773C6B3"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6F9A7F97"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4,8%</w:t>
            </w:r>
          </w:p>
        </w:tc>
      </w:tr>
      <w:tr w:rsidR="00EE22B1" w14:paraId="0AEC0980" w14:textId="77777777" w:rsidTr="00EE22B1">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30117B21"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Alicante</w:t>
            </w:r>
          </w:p>
        </w:tc>
        <w:tc>
          <w:tcPr>
            <w:tcW w:w="2976" w:type="dxa"/>
            <w:vAlign w:val="bottom"/>
          </w:tcPr>
          <w:p w14:paraId="29AD67DF"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Benidorm</w:t>
            </w:r>
          </w:p>
        </w:tc>
        <w:tc>
          <w:tcPr>
            <w:tcW w:w="1560" w:type="dxa"/>
            <w:vAlign w:val="bottom"/>
          </w:tcPr>
          <w:p w14:paraId="7C76A967"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4,9%</w:t>
            </w:r>
          </w:p>
        </w:tc>
        <w:tc>
          <w:tcPr>
            <w:tcW w:w="1559" w:type="dxa"/>
            <w:vAlign w:val="bottom"/>
          </w:tcPr>
          <w:p w14:paraId="6F4DDAFD"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5,2%</w:t>
            </w:r>
          </w:p>
        </w:tc>
        <w:tc>
          <w:tcPr>
            <w:tcW w:w="1559" w:type="dxa"/>
            <w:vAlign w:val="bottom"/>
          </w:tcPr>
          <w:p w14:paraId="18D6FE72"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4,8%</w:t>
            </w:r>
          </w:p>
        </w:tc>
      </w:tr>
      <w:tr w:rsidR="00EE22B1" w14:paraId="5797BCDA" w14:textId="77777777" w:rsidTr="00EE22B1">
        <w:trPr>
          <w:trHeight w:val="64"/>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1C351BD0"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Alicante</w:t>
            </w:r>
          </w:p>
        </w:tc>
        <w:tc>
          <w:tcPr>
            <w:tcW w:w="2976" w:type="dxa"/>
            <w:vAlign w:val="bottom"/>
          </w:tcPr>
          <w:p w14:paraId="3C78C9C3"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L'Alfàs del Pi</w:t>
            </w:r>
          </w:p>
        </w:tc>
        <w:tc>
          <w:tcPr>
            <w:tcW w:w="1560" w:type="dxa"/>
            <w:vAlign w:val="bottom"/>
          </w:tcPr>
          <w:p w14:paraId="00E11775"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564DA045"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7B0A5CD1"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4,8%</w:t>
            </w:r>
          </w:p>
        </w:tc>
      </w:tr>
      <w:tr w:rsidR="00EE22B1" w14:paraId="024E8CCE" w14:textId="77777777" w:rsidTr="00EE22B1">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7334EC01"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Alicante</w:t>
            </w:r>
          </w:p>
        </w:tc>
        <w:tc>
          <w:tcPr>
            <w:tcW w:w="2976" w:type="dxa"/>
            <w:vAlign w:val="bottom"/>
          </w:tcPr>
          <w:p w14:paraId="504EE962"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Orihuela</w:t>
            </w:r>
          </w:p>
        </w:tc>
        <w:tc>
          <w:tcPr>
            <w:tcW w:w="1560" w:type="dxa"/>
            <w:vAlign w:val="bottom"/>
          </w:tcPr>
          <w:p w14:paraId="7E5C3ABA"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3345E184"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4,5%</w:t>
            </w:r>
          </w:p>
        </w:tc>
        <w:tc>
          <w:tcPr>
            <w:tcW w:w="1559" w:type="dxa"/>
            <w:vAlign w:val="bottom"/>
          </w:tcPr>
          <w:p w14:paraId="1AE946D1"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4,7%</w:t>
            </w:r>
          </w:p>
        </w:tc>
      </w:tr>
      <w:tr w:rsidR="00EE22B1" w14:paraId="1CC47FCA" w14:textId="77777777" w:rsidTr="00EE22B1">
        <w:trPr>
          <w:trHeight w:val="37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1A7C7C40"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Alicante</w:t>
            </w:r>
          </w:p>
        </w:tc>
        <w:tc>
          <w:tcPr>
            <w:tcW w:w="2976" w:type="dxa"/>
            <w:vAlign w:val="bottom"/>
          </w:tcPr>
          <w:p w14:paraId="34B76CAF"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Guardamar del Segura</w:t>
            </w:r>
          </w:p>
        </w:tc>
        <w:tc>
          <w:tcPr>
            <w:tcW w:w="1560" w:type="dxa"/>
            <w:vAlign w:val="bottom"/>
          </w:tcPr>
          <w:p w14:paraId="7BD14059"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259EA12D"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4,7%</w:t>
            </w:r>
          </w:p>
        </w:tc>
        <w:tc>
          <w:tcPr>
            <w:tcW w:w="1559" w:type="dxa"/>
            <w:vAlign w:val="bottom"/>
          </w:tcPr>
          <w:p w14:paraId="519A0527"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4,7%</w:t>
            </w:r>
          </w:p>
        </w:tc>
      </w:tr>
      <w:tr w:rsidR="00EE22B1" w14:paraId="21032CCD" w14:textId="77777777" w:rsidTr="00EE22B1">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39671AF6"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Málaga</w:t>
            </w:r>
          </w:p>
        </w:tc>
        <w:tc>
          <w:tcPr>
            <w:tcW w:w="2976" w:type="dxa"/>
            <w:vAlign w:val="bottom"/>
          </w:tcPr>
          <w:p w14:paraId="43821A25"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Torremolinos</w:t>
            </w:r>
          </w:p>
        </w:tc>
        <w:tc>
          <w:tcPr>
            <w:tcW w:w="1560" w:type="dxa"/>
            <w:vAlign w:val="bottom"/>
          </w:tcPr>
          <w:p w14:paraId="7131E1EB"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5,6%</w:t>
            </w:r>
          </w:p>
        </w:tc>
        <w:tc>
          <w:tcPr>
            <w:tcW w:w="1559" w:type="dxa"/>
            <w:vAlign w:val="bottom"/>
          </w:tcPr>
          <w:p w14:paraId="21B4E477"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5,3%</w:t>
            </w:r>
          </w:p>
        </w:tc>
        <w:tc>
          <w:tcPr>
            <w:tcW w:w="1559" w:type="dxa"/>
            <w:vAlign w:val="bottom"/>
          </w:tcPr>
          <w:p w14:paraId="33AD78E1"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4,7%</w:t>
            </w:r>
          </w:p>
        </w:tc>
      </w:tr>
      <w:tr w:rsidR="00EE22B1" w14:paraId="2D4A9E58" w14:textId="77777777" w:rsidTr="00EE22B1">
        <w:trPr>
          <w:trHeight w:val="64"/>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11DA7EE1"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Ourense</w:t>
            </w:r>
          </w:p>
        </w:tc>
        <w:tc>
          <w:tcPr>
            <w:tcW w:w="2976" w:type="dxa"/>
            <w:vAlign w:val="bottom"/>
          </w:tcPr>
          <w:p w14:paraId="06423F61"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Ourense Capital</w:t>
            </w:r>
          </w:p>
        </w:tc>
        <w:tc>
          <w:tcPr>
            <w:tcW w:w="1560" w:type="dxa"/>
            <w:vAlign w:val="bottom"/>
          </w:tcPr>
          <w:p w14:paraId="36862436"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4,5%</w:t>
            </w:r>
          </w:p>
        </w:tc>
        <w:tc>
          <w:tcPr>
            <w:tcW w:w="1559" w:type="dxa"/>
            <w:vAlign w:val="bottom"/>
          </w:tcPr>
          <w:p w14:paraId="5327F964"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5,3%</w:t>
            </w:r>
          </w:p>
        </w:tc>
        <w:tc>
          <w:tcPr>
            <w:tcW w:w="1559" w:type="dxa"/>
            <w:vAlign w:val="bottom"/>
          </w:tcPr>
          <w:p w14:paraId="3F975FFF"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4,7%</w:t>
            </w:r>
          </w:p>
        </w:tc>
      </w:tr>
      <w:tr w:rsidR="00EE22B1" w14:paraId="3D1165A2" w14:textId="77777777" w:rsidTr="00EE22B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22A94E3E"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Murcia</w:t>
            </w:r>
          </w:p>
        </w:tc>
        <w:tc>
          <w:tcPr>
            <w:tcW w:w="2976" w:type="dxa"/>
            <w:vAlign w:val="bottom"/>
          </w:tcPr>
          <w:p w14:paraId="542B63CF"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Los Alcázares</w:t>
            </w:r>
          </w:p>
        </w:tc>
        <w:tc>
          <w:tcPr>
            <w:tcW w:w="1560" w:type="dxa"/>
            <w:vAlign w:val="bottom"/>
          </w:tcPr>
          <w:p w14:paraId="1FA0DA63"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78E6C7CD"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488BFA62"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4,7%</w:t>
            </w:r>
          </w:p>
        </w:tc>
      </w:tr>
      <w:tr w:rsidR="00EE22B1" w14:paraId="2D8BE6C1" w14:textId="77777777" w:rsidTr="00EE22B1">
        <w:trPr>
          <w:trHeight w:val="30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5F74BE22"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Granada</w:t>
            </w:r>
          </w:p>
        </w:tc>
        <w:tc>
          <w:tcPr>
            <w:tcW w:w="2976" w:type="dxa"/>
            <w:vAlign w:val="bottom"/>
          </w:tcPr>
          <w:p w14:paraId="1CAF06BB"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Granada Capital</w:t>
            </w:r>
          </w:p>
        </w:tc>
        <w:tc>
          <w:tcPr>
            <w:tcW w:w="1560" w:type="dxa"/>
            <w:vAlign w:val="bottom"/>
          </w:tcPr>
          <w:p w14:paraId="01A1E863"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5,0%</w:t>
            </w:r>
          </w:p>
        </w:tc>
        <w:tc>
          <w:tcPr>
            <w:tcW w:w="1559" w:type="dxa"/>
            <w:vAlign w:val="bottom"/>
          </w:tcPr>
          <w:p w14:paraId="3B5CD723"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4,5%</w:t>
            </w:r>
          </w:p>
        </w:tc>
        <w:tc>
          <w:tcPr>
            <w:tcW w:w="1559" w:type="dxa"/>
            <w:vAlign w:val="bottom"/>
          </w:tcPr>
          <w:p w14:paraId="73B623E4"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4,6%</w:t>
            </w:r>
          </w:p>
        </w:tc>
      </w:tr>
      <w:tr w:rsidR="00EE22B1" w14:paraId="75CB0AF9" w14:textId="77777777" w:rsidTr="00EE22B1">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6B203694"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Málaga</w:t>
            </w:r>
          </w:p>
        </w:tc>
        <w:tc>
          <w:tcPr>
            <w:tcW w:w="2976" w:type="dxa"/>
            <w:vAlign w:val="bottom"/>
          </w:tcPr>
          <w:p w14:paraId="4DDABC02"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Málaga Capital</w:t>
            </w:r>
          </w:p>
        </w:tc>
        <w:tc>
          <w:tcPr>
            <w:tcW w:w="1560" w:type="dxa"/>
            <w:vAlign w:val="bottom"/>
          </w:tcPr>
          <w:p w14:paraId="5B6B7676"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4,8%</w:t>
            </w:r>
          </w:p>
        </w:tc>
        <w:tc>
          <w:tcPr>
            <w:tcW w:w="1559" w:type="dxa"/>
            <w:vAlign w:val="bottom"/>
          </w:tcPr>
          <w:p w14:paraId="44AC6F9F"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4,8%</w:t>
            </w:r>
          </w:p>
        </w:tc>
        <w:tc>
          <w:tcPr>
            <w:tcW w:w="1559" w:type="dxa"/>
            <w:vAlign w:val="bottom"/>
          </w:tcPr>
          <w:p w14:paraId="2643100A"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4,6%</w:t>
            </w:r>
          </w:p>
        </w:tc>
      </w:tr>
      <w:tr w:rsidR="00EE22B1" w14:paraId="0EDF9D71" w14:textId="77777777" w:rsidTr="00EE22B1">
        <w:trPr>
          <w:trHeight w:val="259"/>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0970ED45"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Granada</w:t>
            </w:r>
          </w:p>
        </w:tc>
        <w:tc>
          <w:tcPr>
            <w:tcW w:w="2976" w:type="dxa"/>
            <w:vAlign w:val="bottom"/>
          </w:tcPr>
          <w:p w14:paraId="4C4B1874"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Torrenueva Costa</w:t>
            </w:r>
          </w:p>
        </w:tc>
        <w:tc>
          <w:tcPr>
            <w:tcW w:w="1560" w:type="dxa"/>
            <w:vAlign w:val="bottom"/>
          </w:tcPr>
          <w:p w14:paraId="77F5F04E"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3110DC32"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4,3%</w:t>
            </w:r>
          </w:p>
        </w:tc>
        <w:tc>
          <w:tcPr>
            <w:tcW w:w="1559" w:type="dxa"/>
            <w:vAlign w:val="bottom"/>
          </w:tcPr>
          <w:p w14:paraId="6EDC2761"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4,6%</w:t>
            </w:r>
          </w:p>
        </w:tc>
      </w:tr>
      <w:tr w:rsidR="00EE22B1" w14:paraId="131A07DE" w14:textId="77777777" w:rsidTr="00EE22B1">
        <w:trPr>
          <w:cnfStyle w:val="000000100000" w:firstRow="0" w:lastRow="0" w:firstColumn="0" w:lastColumn="0" w:oddVBand="0" w:evenVBand="0" w:oddHBand="1" w:evenHBand="0" w:firstRowFirstColumn="0" w:firstRowLastColumn="0" w:lastRowFirstColumn="0" w:lastRowLastColumn="0"/>
          <w:trHeight w:val="168"/>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33A7AC6D"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Pontevedra</w:t>
            </w:r>
          </w:p>
        </w:tc>
        <w:tc>
          <w:tcPr>
            <w:tcW w:w="2976" w:type="dxa"/>
            <w:vAlign w:val="bottom"/>
          </w:tcPr>
          <w:p w14:paraId="428EAA2A"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Pontevedra Capital</w:t>
            </w:r>
          </w:p>
        </w:tc>
        <w:tc>
          <w:tcPr>
            <w:tcW w:w="1560" w:type="dxa"/>
            <w:vAlign w:val="bottom"/>
          </w:tcPr>
          <w:p w14:paraId="7622DB8E"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324DCFAC"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4,0%</w:t>
            </w:r>
          </w:p>
        </w:tc>
        <w:tc>
          <w:tcPr>
            <w:tcW w:w="1559" w:type="dxa"/>
            <w:vAlign w:val="bottom"/>
          </w:tcPr>
          <w:p w14:paraId="6E24C157"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4,6%</w:t>
            </w:r>
          </w:p>
        </w:tc>
      </w:tr>
      <w:tr w:rsidR="00EE22B1" w14:paraId="66C6887B" w14:textId="77777777" w:rsidTr="00EE22B1">
        <w:trPr>
          <w:trHeight w:val="21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68AC7A6E"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Alicante</w:t>
            </w:r>
          </w:p>
        </w:tc>
        <w:tc>
          <w:tcPr>
            <w:tcW w:w="2976" w:type="dxa"/>
            <w:vAlign w:val="bottom"/>
          </w:tcPr>
          <w:p w14:paraId="3BE1C34D"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Dénia</w:t>
            </w:r>
          </w:p>
        </w:tc>
        <w:tc>
          <w:tcPr>
            <w:tcW w:w="1560" w:type="dxa"/>
            <w:vAlign w:val="bottom"/>
          </w:tcPr>
          <w:p w14:paraId="5F0E25AE"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3CC873B4"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4,0%</w:t>
            </w:r>
          </w:p>
        </w:tc>
        <w:tc>
          <w:tcPr>
            <w:tcW w:w="1559" w:type="dxa"/>
            <w:vAlign w:val="bottom"/>
          </w:tcPr>
          <w:p w14:paraId="710BA504"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4,5%</w:t>
            </w:r>
          </w:p>
        </w:tc>
      </w:tr>
      <w:tr w:rsidR="00EE22B1" w14:paraId="0E99D3FD" w14:textId="77777777" w:rsidTr="00EE22B1">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696EC49A"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Málaga</w:t>
            </w:r>
          </w:p>
        </w:tc>
        <w:tc>
          <w:tcPr>
            <w:tcW w:w="2976" w:type="dxa"/>
            <w:vAlign w:val="bottom"/>
          </w:tcPr>
          <w:p w14:paraId="597933B1"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Estepona</w:t>
            </w:r>
          </w:p>
        </w:tc>
        <w:tc>
          <w:tcPr>
            <w:tcW w:w="1560" w:type="dxa"/>
            <w:vAlign w:val="bottom"/>
          </w:tcPr>
          <w:p w14:paraId="19C0EEC9"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4,2%</w:t>
            </w:r>
          </w:p>
        </w:tc>
        <w:tc>
          <w:tcPr>
            <w:tcW w:w="1559" w:type="dxa"/>
            <w:vAlign w:val="bottom"/>
          </w:tcPr>
          <w:p w14:paraId="19955490"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4,8%</w:t>
            </w:r>
          </w:p>
        </w:tc>
        <w:tc>
          <w:tcPr>
            <w:tcW w:w="1559" w:type="dxa"/>
            <w:vAlign w:val="bottom"/>
          </w:tcPr>
          <w:p w14:paraId="10D9CCFE"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4,5%</w:t>
            </w:r>
          </w:p>
        </w:tc>
      </w:tr>
      <w:tr w:rsidR="00EE22B1" w14:paraId="4FF273A3" w14:textId="77777777" w:rsidTr="00EE22B1">
        <w:trPr>
          <w:trHeight w:val="190"/>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3E664EBA"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Pontevedra</w:t>
            </w:r>
          </w:p>
        </w:tc>
        <w:tc>
          <w:tcPr>
            <w:tcW w:w="2976" w:type="dxa"/>
            <w:vAlign w:val="bottom"/>
          </w:tcPr>
          <w:p w14:paraId="75E709C9"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Vigo</w:t>
            </w:r>
          </w:p>
        </w:tc>
        <w:tc>
          <w:tcPr>
            <w:tcW w:w="1560" w:type="dxa"/>
            <w:vAlign w:val="bottom"/>
          </w:tcPr>
          <w:p w14:paraId="3B6F6A84"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4,8%</w:t>
            </w:r>
          </w:p>
        </w:tc>
        <w:tc>
          <w:tcPr>
            <w:tcW w:w="1559" w:type="dxa"/>
            <w:vAlign w:val="bottom"/>
          </w:tcPr>
          <w:p w14:paraId="3C562597"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4,5%</w:t>
            </w:r>
          </w:p>
        </w:tc>
        <w:tc>
          <w:tcPr>
            <w:tcW w:w="1559" w:type="dxa"/>
            <w:vAlign w:val="bottom"/>
          </w:tcPr>
          <w:p w14:paraId="4FECF150"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4,5%</w:t>
            </w:r>
          </w:p>
        </w:tc>
      </w:tr>
      <w:tr w:rsidR="00EE22B1" w14:paraId="5DB31A3D" w14:textId="77777777" w:rsidTr="00EE22B1">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234B0B6F"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Cádiz</w:t>
            </w:r>
          </w:p>
        </w:tc>
        <w:tc>
          <w:tcPr>
            <w:tcW w:w="2976" w:type="dxa"/>
            <w:vAlign w:val="bottom"/>
          </w:tcPr>
          <w:p w14:paraId="1102654A"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Tarifa</w:t>
            </w:r>
          </w:p>
        </w:tc>
        <w:tc>
          <w:tcPr>
            <w:tcW w:w="1560" w:type="dxa"/>
            <w:vAlign w:val="bottom"/>
          </w:tcPr>
          <w:p w14:paraId="23F471B2"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73BA7AC6"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5404F836"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4,5%</w:t>
            </w:r>
          </w:p>
        </w:tc>
      </w:tr>
      <w:tr w:rsidR="00EE22B1" w14:paraId="21EF2746" w14:textId="77777777" w:rsidTr="00EE22B1">
        <w:trPr>
          <w:trHeight w:val="289"/>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3B028235"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A Coruña</w:t>
            </w:r>
          </w:p>
        </w:tc>
        <w:tc>
          <w:tcPr>
            <w:tcW w:w="2976" w:type="dxa"/>
            <w:vAlign w:val="bottom"/>
          </w:tcPr>
          <w:p w14:paraId="6A4A023E"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Santiago de Compostela</w:t>
            </w:r>
          </w:p>
        </w:tc>
        <w:tc>
          <w:tcPr>
            <w:tcW w:w="1560" w:type="dxa"/>
            <w:vAlign w:val="bottom"/>
          </w:tcPr>
          <w:p w14:paraId="3445004E"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4,1%</w:t>
            </w:r>
          </w:p>
        </w:tc>
        <w:tc>
          <w:tcPr>
            <w:tcW w:w="1559" w:type="dxa"/>
            <w:vAlign w:val="bottom"/>
          </w:tcPr>
          <w:p w14:paraId="56298CDF"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4,7%</w:t>
            </w:r>
          </w:p>
        </w:tc>
        <w:tc>
          <w:tcPr>
            <w:tcW w:w="1559" w:type="dxa"/>
            <w:vAlign w:val="bottom"/>
          </w:tcPr>
          <w:p w14:paraId="130E2D5E"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4,5%</w:t>
            </w:r>
          </w:p>
        </w:tc>
      </w:tr>
      <w:tr w:rsidR="00EE22B1" w14:paraId="17C243A7" w14:textId="77777777" w:rsidTr="00EE22B1">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6EC25DC7"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Málaga</w:t>
            </w:r>
          </w:p>
        </w:tc>
        <w:tc>
          <w:tcPr>
            <w:tcW w:w="2976" w:type="dxa"/>
            <w:vAlign w:val="bottom"/>
          </w:tcPr>
          <w:p w14:paraId="319481B9"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Benalmádena</w:t>
            </w:r>
          </w:p>
        </w:tc>
        <w:tc>
          <w:tcPr>
            <w:tcW w:w="1560" w:type="dxa"/>
            <w:vAlign w:val="bottom"/>
          </w:tcPr>
          <w:p w14:paraId="29415560"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4,8%</w:t>
            </w:r>
          </w:p>
        </w:tc>
        <w:tc>
          <w:tcPr>
            <w:tcW w:w="1559" w:type="dxa"/>
            <w:vAlign w:val="bottom"/>
          </w:tcPr>
          <w:p w14:paraId="4A74FC12"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4,8%</w:t>
            </w:r>
          </w:p>
        </w:tc>
        <w:tc>
          <w:tcPr>
            <w:tcW w:w="1559" w:type="dxa"/>
            <w:vAlign w:val="bottom"/>
          </w:tcPr>
          <w:p w14:paraId="04F72139"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4,5%</w:t>
            </w:r>
          </w:p>
        </w:tc>
      </w:tr>
      <w:tr w:rsidR="00EE22B1" w14:paraId="5574D15D" w14:textId="77777777" w:rsidTr="00EE22B1">
        <w:trPr>
          <w:trHeight w:val="262"/>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12AA1D23"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Cádiz</w:t>
            </w:r>
          </w:p>
        </w:tc>
        <w:tc>
          <w:tcPr>
            <w:tcW w:w="2976" w:type="dxa"/>
            <w:vAlign w:val="bottom"/>
          </w:tcPr>
          <w:p w14:paraId="232C756C"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Cádiz Capital</w:t>
            </w:r>
          </w:p>
        </w:tc>
        <w:tc>
          <w:tcPr>
            <w:tcW w:w="1560" w:type="dxa"/>
            <w:vAlign w:val="bottom"/>
          </w:tcPr>
          <w:p w14:paraId="7BA1826D"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5,1%</w:t>
            </w:r>
          </w:p>
        </w:tc>
        <w:tc>
          <w:tcPr>
            <w:tcW w:w="1559" w:type="dxa"/>
            <w:vAlign w:val="bottom"/>
          </w:tcPr>
          <w:p w14:paraId="7E1599C3"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4,6%</w:t>
            </w:r>
          </w:p>
        </w:tc>
        <w:tc>
          <w:tcPr>
            <w:tcW w:w="1559" w:type="dxa"/>
            <w:vAlign w:val="bottom"/>
          </w:tcPr>
          <w:p w14:paraId="1DB8CBF2"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4,5%</w:t>
            </w:r>
          </w:p>
        </w:tc>
      </w:tr>
      <w:tr w:rsidR="00EE22B1" w14:paraId="62D89FD1" w14:textId="77777777" w:rsidTr="00EE22B1">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7D90BD70"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Málaga</w:t>
            </w:r>
          </w:p>
        </w:tc>
        <w:tc>
          <w:tcPr>
            <w:tcW w:w="2976" w:type="dxa"/>
            <w:vAlign w:val="bottom"/>
          </w:tcPr>
          <w:p w14:paraId="34C07E07"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Vélez-Málaga</w:t>
            </w:r>
          </w:p>
        </w:tc>
        <w:tc>
          <w:tcPr>
            <w:tcW w:w="1560" w:type="dxa"/>
            <w:vAlign w:val="bottom"/>
          </w:tcPr>
          <w:p w14:paraId="57AFB49F"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0AB12F0D"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5,0%</w:t>
            </w:r>
          </w:p>
        </w:tc>
        <w:tc>
          <w:tcPr>
            <w:tcW w:w="1559" w:type="dxa"/>
            <w:vAlign w:val="bottom"/>
          </w:tcPr>
          <w:p w14:paraId="4A66BFCB"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4,4%</w:t>
            </w:r>
          </w:p>
        </w:tc>
      </w:tr>
      <w:tr w:rsidR="00EE22B1" w14:paraId="3967A3D4" w14:textId="77777777" w:rsidTr="00EE22B1">
        <w:trPr>
          <w:trHeight w:val="219"/>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2B78034C"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A Coruña</w:t>
            </w:r>
          </w:p>
        </w:tc>
        <w:tc>
          <w:tcPr>
            <w:tcW w:w="2976" w:type="dxa"/>
            <w:vAlign w:val="bottom"/>
          </w:tcPr>
          <w:p w14:paraId="36234371"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Ames</w:t>
            </w:r>
          </w:p>
        </w:tc>
        <w:tc>
          <w:tcPr>
            <w:tcW w:w="1560" w:type="dxa"/>
            <w:vAlign w:val="bottom"/>
          </w:tcPr>
          <w:p w14:paraId="01DF0ECF"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6547DCFC"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5,4%</w:t>
            </w:r>
          </w:p>
        </w:tc>
        <w:tc>
          <w:tcPr>
            <w:tcW w:w="1559" w:type="dxa"/>
            <w:vAlign w:val="bottom"/>
          </w:tcPr>
          <w:p w14:paraId="10F59BD3"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4,4%</w:t>
            </w:r>
          </w:p>
        </w:tc>
      </w:tr>
      <w:tr w:rsidR="00EE22B1" w14:paraId="4AEC9A2E" w14:textId="77777777" w:rsidTr="00EE22B1">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5804BC01"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Illes Balears</w:t>
            </w:r>
          </w:p>
        </w:tc>
        <w:tc>
          <w:tcPr>
            <w:tcW w:w="2976" w:type="dxa"/>
            <w:vAlign w:val="bottom"/>
          </w:tcPr>
          <w:p w14:paraId="48AD50D9"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Palma de Mallorca</w:t>
            </w:r>
          </w:p>
        </w:tc>
        <w:tc>
          <w:tcPr>
            <w:tcW w:w="1560" w:type="dxa"/>
            <w:vAlign w:val="bottom"/>
          </w:tcPr>
          <w:p w14:paraId="3C03708B"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4,3%</w:t>
            </w:r>
          </w:p>
        </w:tc>
        <w:tc>
          <w:tcPr>
            <w:tcW w:w="1559" w:type="dxa"/>
            <w:vAlign w:val="bottom"/>
          </w:tcPr>
          <w:p w14:paraId="6B016AEC"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4,4%</w:t>
            </w:r>
          </w:p>
        </w:tc>
        <w:tc>
          <w:tcPr>
            <w:tcW w:w="1559" w:type="dxa"/>
            <w:vAlign w:val="bottom"/>
          </w:tcPr>
          <w:p w14:paraId="306FC530"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4,4%</w:t>
            </w:r>
          </w:p>
        </w:tc>
      </w:tr>
      <w:tr w:rsidR="00EE22B1" w14:paraId="0DD2470F" w14:textId="77777777" w:rsidTr="00EE22B1">
        <w:trPr>
          <w:trHeight w:val="177"/>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71E3A515"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lastRenderedPageBreak/>
              <w:t>Málaga</w:t>
            </w:r>
          </w:p>
        </w:tc>
        <w:tc>
          <w:tcPr>
            <w:tcW w:w="2976" w:type="dxa"/>
            <w:vAlign w:val="bottom"/>
          </w:tcPr>
          <w:p w14:paraId="454116AE"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Nerja</w:t>
            </w:r>
          </w:p>
        </w:tc>
        <w:tc>
          <w:tcPr>
            <w:tcW w:w="1560" w:type="dxa"/>
            <w:vAlign w:val="bottom"/>
          </w:tcPr>
          <w:p w14:paraId="6D0FFB62"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192BC734"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3F85DF3F"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4,3%</w:t>
            </w:r>
          </w:p>
        </w:tc>
      </w:tr>
      <w:tr w:rsidR="00EE22B1" w14:paraId="33EEF1AA" w14:textId="77777777" w:rsidTr="00EE22B1">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56FCD5C0"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Málaga</w:t>
            </w:r>
          </w:p>
        </w:tc>
        <w:tc>
          <w:tcPr>
            <w:tcW w:w="2976" w:type="dxa"/>
            <w:vAlign w:val="bottom"/>
          </w:tcPr>
          <w:p w14:paraId="3CA115A5"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Rincón de la Victoria</w:t>
            </w:r>
          </w:p>
        </w:tc>
        <w:tc>
          <w:tcPr>
            <w:tcW w:w="1560" w:type="dxa"/>
            <w:vAlign w:val="bottom"/>
          </w:tcPr>
          <w:p w14:paraId="0AC82E31"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3CA0B9B6"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4,4%</w:t>
            </w:r>
          </w:p>
        </w:tc>
        <w:tc>
          <w:tcPr>
            <w:tcW w:w="1559" w:type="dxa"/>
            <w:vAlign w:val="bottom"/>
          </w:tcPr>
          <w:p w14:paraId="7D013F86"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4,3%</w:t>
            </w:r>
          </w:p>
        </w:tc>
      </w:tr>
      <w:tr w:rsidR="00EE22B1" w14:paraId="66D930E6" w14:textId="77777777" w:rsidTr="00EE22B1">
        <w:trPr>
          <w:trHeight w:val="149"/>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70B9D581"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Alicante</w:t>
            </w:r>
          </w:p>
        </w:tc>
        <w:tc>
          <w:tcPr>
            <w:tcW w:w="2976" w:type="dxa"/>
            <w:vAlign w:val="bottom"/>
          </w:tcPr>
          <w:p w14:paraId="2440B265"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Pilar de la Horadada</w:t>
            </w:r>
          </w:p>
        </w:tc>
        <w:tc>
          <w:tcPr>
            <w:tcW w:w="1560" w:type="dxa"/>
            <w:vAlign w:val="bottom"/>
          </w:tcPr>
          <w:p w14:paraId="6108A255"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23488853"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5,5%</w:t>
            </w:r>
          </w:p>
        </w:tc>
        <w:tc>
          <w:tcPr>
            <w:tcW w:w="1559" w:type="dxa"/>
            <w:vAlign w:val="bottom"/>
          </w:tcPr>
          <w:p w14:paraId="30A28BC7"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4,3%</w:t>
            </w:r>
          </w:p>
        </w:tc>
      </w:tr>
      <w:tr w:rsidR="00EE22B1" w14:paraId="1E42145A" w14:textId="77777777" w:rsidTr="00EE22B1">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3535DF11"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Málaga</w:t>
            </w:r>
          </w:p>
        </w:tc>
        <w:tc>
          <w:tcPr>
            <w:tcW w:w="2976" w:type="dxa"/>
            <w:vAlign w:val="bottom"/>
          </w:tcPr>
          <w:p w14:paraId="6EBB5E26"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Mijas</w:t>
            </w:r>
          </w:p>
        </w:tc>
        <w:tc>
          <w:tcPr>
            <w:tcW w:w="1560" w:type="dxa"/>
            <w:vAlign w:val="bottom"/>
          </w:tcPr>
          <w:p w14:paraId="2517C2E1"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5,2%</w:t>
            </w:r>
          </w:p>
        </w:tc>
        <w:tc>
          <w:tcPr>
            <w:tcW w:w="1559" w:type="dxa"/>
            <w:vAlign w:val="bottom"/>
          </w:tcPr>
          <w:p w14:paraId="1B9BFAF2"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4,8%</w:t>
            </w:r>
          </w:p>
        </w:tc>
        <w:tc>
          <w:tcPr>
            <w:tcW w:w="1559" w:type="dxa"/>
            <w:vAlign w:val="bottom"/>
          </w:tcPr>
          <w:p w14:paraId="49F6DB26"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4,2%</w:t>
            </w:r>
          </w:p>
        </w:tc>
      </w:tr>
      <w:tr w:rsidR="00EE22B1" w14:paraId="46D7A562" w14:textId="77777777" w:rsidTr="00EE22B1">
        <w:trPr>
          <w:trHeight w:val="263"/>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68138879"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A Coruña</w:t>
            </w:r>
          </w:p>
        </w:tc>
        <w:tc>
          <w:tcPr>
            <w:tcW w:w="2976" w:type="dxa"/>
            <w:vAlign w:val="bottom"/>
          </w:tcPr>
          <w:p w14:paraId="50678A9C"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A Coruña Capital</w:t>
            </w:r>
          </w:p>
        </w:tc>
        <w:tc>
          <w:tcPr>
            <w:tcW w:w="1560" w:type="dxa"/>
            <w:vAlign w:val="bottom"/>
          </w:tcPr>
          <w:p w14:paraId="2F3D57CB"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4,3%</w:t>
            </w:r>
          </w:p>
        </w:tc>
        <w:tc>
          <w:tcPr>
            <w:tcW w:w="1559" w:type="dxa"/>
            <w:vAlign w:val="bottom"/>
          </w:tcPr>
          <w:p w14:paraId="5F5DC768"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4,7%</w:t>
            </w:r>
          </w:p>
        </w:tc>
        <w:tc>
          <w:tcPr>
            <w:tcW w:w="1559" w:type="dxa"/>
            <w:vAlign w:val="bottom"/>
          </w:tcPr>
          <w:p w14:paraId="2BB7D79E"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4,2%</w:t>
            </w:r>
          </w:p>
        </w:tc>
      </w:tr>
      <w:tr w:rsidR="00EE22B1" w14:paraId="3E58CA9F" w14:textId="77777777" w:rsidTr="00EE22B1">
        <w:trPr>
          <w:cnfStyle w:val="000000100000" w:firstRow="0" w:lastRow="0" w:firstColumn="0" w:lastColumn="0" w:oddVBand="0" w:evenVBand="0" w:oddHBand="1" w:evenHBand="0" w:firstRowFirstColumn="0" w:firstRowLastColumn="0" w:lastRowFirstColumn="0" w:lastRowLastColumn="0"/>
          <w:trHeight w:val="17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59F08A66"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Granada</w:t>
            </w:r>
          </w:p>
        </w:tc>
        <w:tc>
          <w:tcPr>
            <w:tcW w:w="2976" w:type="dxa"/>
            <w:vAlign w:val="bottom"/>
          </w:tcPr>
          <w:p w14:paraId="7BFA572C"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Almuñécar</w:t>
            </w:r>
          </w:p>
        </w:tc>
        <w:tc>
          <w:tcPr>
            <w:tcW w:w="1560" w:type="dxa"/>
            <w:vAlign w:val="bottom"/>
          </w:tcPr>
          <w:p w14:paraId="4DEF374F"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6D29A325"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4,3%</w:t>
            </w:r>
          </w:p>
        </w:tc>
        <w:tc>
          <w:tcPr>
            <w:tcW w:w="1559" w:type="dxa"/>
            <w:vAlign w:val="bottom"/>
          </w:tcPr>
          <w:p w14:paraId="7164AD49"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4,2%</w:t>
            </w:r>
          </w:p>
        </w:tc>
      </w:tr>
      <w:tr w:rsidR="00EE22B1" w14:paraId="337FB04B" w14:textId="77777777" w:rsidTr="00EE22B1">
        <w:trPr>
          <w:trHeight w:val="86"/>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6F620E66"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Granada</w:t>
            </w:r>
          </w:p>
        </w:tc>
        <w:tc>
          <w:tcPr>
            <w:tcW w:w="2976" w:type="dxa"/>
            <w:vAlign w:val="bottom"/>
          </w:tcPr>
          <w:p w14:paraId="1FCF5AB0"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Salobreña</w:t>
            </w:r>
          </w:p>
        </w:tc>
        <w:tc>
          <w:tcPr>
            <w:tcW w:w="1560" w:type="dxa"/>
            <w:vAlign w:val="bottom"/>
          </w:tcPr>
          <w:p w14:paraId="70D6E0AF"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7E76961A"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26695F74"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4,2%</w:t>
            </w:r>
          </w:p>
        </w:tc>
      </w:tr>
      <w:tr w:rsidR="00EE22B1" w14:paraId="7EFC807B" w14:textId="77777777" w:rsidTr="00EE22B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449B0E34"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Madrid</w:t>
            </w:r>
          </w:p>
        </w:tc>
        <w:tc>
          <w:tcPr>
            <w:tcW w:w="2976" w:type="dxa"/>
            <w:vAlign w:val="bottom"/>
          </w:tcPr>
          <w:p w14:paraId="0B7CBC62"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Madrid Capital</w:t>
            </w:r>
          </w:p>
        </w:tc>
        <w:tc>
          <w:tcPr>
            <w:tcW w:w="1560" w:type="dxa"/>
            <w:vAlign w:val="bottom"/>
          </w:tcPr>
          <w:p w14:paraId="4B53A6C3"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4,5%</w:t>
            </w:r>
          </w:p>
        </w:tc>
        <w:tc>
          <w:tcPr>
            <w:tcW w:w="1559" w:type="dxa"/>
            <w:vAlign w:val="bottom"/>
          </w:tcPr>
          <w:p w14:paraId="6331524A"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4,5%</w:t>
            </w:r>
          </w:p>
        </w:tc>
        <w:tc>
          <w:tcPr>
            <w:tcW w:w="1559" w:type="dxa"/>
            <w:vAlign w:val="bottom"/>
          </w:tcPr>
          <w:p w14:paraId="762EDDB6"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4,1%</w:t>
            </w:r>
          </w:p>
        </w:tc>
      </w:tr>
      <w:tr w:rsidR="00EE22B1" w14:paraId="318702E5" w14:textId="77777777" w:rsidTr="00EE22B1">
        <w:trPr>
          <w:trHeight w:val="193"/>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37D9E825"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Bizkaia</w:t>
            </w:r>
          </w:p>
        </w:tc>
        <w:tc>
          <w:tcPr>
            <w:tcW w:w="2976" w:type="dxa"/>
            <w:vAlign w:val="bottom"/>
          </w:tcPr>
          <w:p w14:paraId="3DAB97DA"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Getxo</w:t>
            </w:r>
          </w:p>
        </w:tc>
        <w:tc>
          <w:tcPr>
            <w:tcW w:w="1560" w:type="dxa"/>
            <w:vAlign w:val="bottom"/>
          </w:tcPr>
          <w:p w14:paraId="7AED59D0"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3,9%</w:t>
            </w:r>
          </w:p>
        </w:tc>
        <w:tc>
          <w:tcPr>
            <w:tcW w:w="1559" w:type="dxa"/>
            <w:vAlign w:val="bottom"/>
          </w:tcPr>
          <w:p w14:paraId="7E9B75AC"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4,0%</w:t>
            </w:r>
          </w:p>
        </w:tc>
        <w:tc>
          <w:tcPr>
            <w:tcW w:w="1559" w:type="dxa"/>
            <w:vAlign w:val="bottom"/>
          </w:tcPr>
          <w:p w14:paraId="2CFE4417"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4,1%</w:t>
            </w:r>
          </w:p>
        </w:tc>
      </w:tr>
      <w:tr w:rsidR="00EE22B1" w14:paraId="730FB2B0" w14:textId="77777777" w:rsidTr="00EE22B1">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2386CB2F"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Illes Balears</w:t>
            </w:r>
          </w:p>
        </w:tc>
        <w:tc>
          <w:tcPr>
            <w:tcW w:w="2976" w:type="dxa"/>
            <w:vAlign w:val="bottom"/>
          </w:tcPr>
          <w:p w14:paraId="052D8233"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Calvià</w:t>
            </w:r>
          </w:p>
        </w:tc>
        <w:tc>
          <w:tcPr>
            <w:tcW w:w="1560" w:type="dxa"/>
            <w:vAlign w:val="bottom"/>
          </w:tcPr>
          <w:p w14:paraId="3DE893E0"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4,5%</w:t>
            </w:r>
          </w:p>
        </w:tc>
        <w:tc>
          <w:tcPr>
            <w:tcW w:w="1559" w:type="dxa"/>
            <w:vAlign w:val="bottom"/>
          </w:tcPr>
          <w:p w14:paraId="1E7DDECE"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4,4%</w:t>
            </w:r>
          </w:p>
        </w:tc>
        <w:tc>
          <w:tcPr>
            <w:tcW w:w="1559" w:type="dxa"/>
            <w:vAlign w:val="bottom"/>
          </w:tcPr>
          <w:p w14:paraId="5DD943ED"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4,0%</w:t>
            </w:r>
          </w:p>
        </w:tc>
      </w:tr>
      <w:tr w:rsidR="00EE22B1" w14:paraId="7FA02F0C" w14:textId="77777777" w:rsidTr="00EE22B1">
        <w:trPr>
          <w:trHeight w:val="293"/>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3C46F0BD"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Málaga</w:t>
            </w:r>
          </w:p>
        </w:tc>
        <w:tc>
          <w:tcPr>
            <w:tcW w:w="2976" w:type="dxa"/>
            <w:vAlign w:val="bottom"/>
          </w:tcPr>
          <w:p w14:paraId="088E6498"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Fuengirola</w:t>
            </w:r>
          </w:p>
        </w:tc>
        <w:tc>
          <w:tcPr>
            <w:tcW w:w="1560" w:type="dxa"/>
            <w:vAlign w:val="bottom"/>
          </w:tcPr>
          <w:p w14:paraId="59B5DE34"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4,1%</w:t>
            </w:r>
          </w:p>
        </w:tc>
        <w:tc>
          <w:tcPr>
            <w:tcW w:w="1559" w:type="dxa"/>
            <w:vAlign w:val="bottom"/>
          </w:tcPr>
          <w:p w14:paraId="311A5991"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4,0%</w:t>
            </w:r>
          </w:p>
        </w:tc>
        <w:tc>
          <w:tcPr>
            <w:tcW w:w="1559" w:type="dxa"/>
            <w:vAlign w:val="bottom"/>
          </w:tcPr>
          <w:p w14:paraId="5AEADFFF"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4,0%</w:t>
            </w:r>
          </w:p>
        </w:tc>
      </w:tr>
      <w:tr w:rsidR="00EE22B1" w14:paraId="03BFF6BE" w14:textId="77777777" w:rsidTr="00EE22B1">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3F39D167"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Málaga</w:t>
            </w:r>
          </w:p>
        </w:tc>
        <w:tc>
          <w:tcPr>
            <w:tcW w:w="2976" w:type="dxa"/>
            <w:vAlign w:val="bottom"/>
          </w:tcPr>
          <w:p w14:paraId="28232194"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Marbella</w:t>
            </w:r>
          </w:p>
        </w:tc>
        <w:tc>
          <w:tcPr>
            <w:tcW w:w="1560" w:type="dxa"/>
            <w:vAlign w:val="bottom"/>
          </w:tcPr>
          <w:p w14:paraId="66CBF757"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4,7%</w:t>
            </w:r>
          </w:p>
        </w:tc>
        <w:tc>
          <w:tcPr>
            <w:tcW w:w="1559" w:type="dxa"/>
            <w:vAlign w:val="bottom"/>
          </w:tcPr>
          <w:p w14:paraId="39DCB6DF"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4,0%</w:t>
            </w:r>
          </w:p>
        </w:tc>
        <w:tc>
          <w:tcPr>
            <w:tcW w:w="1559" w:type="dxa"/>
            <w:vAlign w:val="bottom"/>
          </w:tcPr>
          <w:p w14:paraId="636062ED"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4,0%</w:t>
            </w:r>
          </w:p>
        </w:tc>
      </w:tr>
      <w:tr w:rsidR="00EE22B1" w14:paraId="64B58C7D" w14:textId="77777777" w:rsidTr="00EE22B1">
        <w:trPr>
          <w:trHeight w:val="25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766985ED"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Alicante</w:t>
            </w:r>
          </w:p>
        </w:tc>
        <w:tc>
          <w:tcPr>
            <w:tcW w:w="2976" w:type="dxa"/>
            <w:vAlign w:val="bottom"/>
          </w:tcPr>
          <w:p w14:paraId="4943CA0F"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Villajoyosa / La Vila Joiosa</w:t>
            </w:r>
          </w:p>
        </w:tc>
        <w:tc>
          <w:tcPr>
            <w:tcW w:w="1560" w:type="dxa"/>
            <w:vAlign w:val="bottom"/>
          </w:tcPr>
          <w:p w14:paraId="48AB901E"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78C4B399"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5,2%</w:t>
            </w:r>
          </w:p>
        </w:tc>
        <w:tc>
          <w:tcPr>
            <w:tcW w:w="1559" w:type="dxa"/>
            <w:vAlign w:val="bottom"/>
          </w:tcPr>
          <w:p w14:paraId="2D2AF995"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4,0%</w:t>
            </w:r>
          </w:p>
        </w:tc>
      </w:tr>
      <w:tr w:rsidR="00EE22B1" w14:paraId="24804421" w14:textId="77777777" w:rsidTr="00EE22B1">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23DB7C91"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Barcelona</w:t>
            </w:r>
          </w:p>
        </w:tc>
        <w:tc>
          <w:tcPr>
            <w:tcW w:w="2976" w:type="dxa"/>
            <w:vAlign w:val="bottom"/>
          </w:tcPr>
          <w:p w14:paraId="36468265"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Cubelles</w:t>
            </w:r>
          </w:p>
        </w:tc>
        <w:tc>
          <w:tcPr>
            <w:tcW w:w="1560" w:type="dxa"/>
            <w:vAlign w:val="bottom"/>
          </w:tcPr>
          <w:p w14:paraId="4A052D9D"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43B3C078"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61EB8CAA"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4,0%</w:t>
            </w:r>
          </w:p>
        </w:tc>
      </w:tr>
      <w:tr w:rsidR="00EE22B1" w14:paraId="45B6A882" w14:textId="77777777" w:rsidTr="00EE22B1">
        <w:trPr>
          <w:trHeight w:val="223"/>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67C26ED1"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Madrid</w:t>
            </w:r>
          </w:p>
        </w:tc>
        <w:tc>
          <w:tcPr>
            <w:tcW w:w="2976" w:type="dxa"/>
            <w:vAlign w:val="bottom"/>
          </w:tcPr>
          <w:p w14:paraId="2922370C"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Majadahonda</w:t>
            </w:r>
          </w:p>
        </w:tc>
        <w:tc>
          <w:tcPr>
            <w:tcW w:w="1560" w:type="dxa"/>
            <w:vAlign w:val="bottom"/>
          </w:tcPr>
          <w:p w14:paraId="20A68926"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4,2%</w:t>
            </w:r>
          </w:p>
        </w:tc>
        <w:tc>
          <w:tcPr>
            <w:tcW w:w="1559" w:type="dxa"/>
            <w:vAlign w:val="bottom"/>
          </w:tcPr>
          <w:p w14:paraId="2FE83CB7"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7B6DFE03"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3,9%</w:t>
            </w:r>
          </w:p>
        </w:tc>
      </w:tr>
      <w:tr w:rsidR="00EE22B1" w14:paraId="0F6D30E2" w14:textId="77777777" w:rsidTr="00EE22B1">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0B6B60F7"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Barcelona</w:t>
            </w:r>
          </w:p>
        </w:tc>
        <w:tc>
          <w:tcPr>
            <w:tcW w:w="2976" w:type="dxa"/>
            <w:vAlign w:val="bottom"/>
          </w:tcPr>
          <w:p w14:paraId="3173A020"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Sitges</w:t>
            </w:r>
          </w:p>
        </w:tc>
        <w:tc>
          <w:tcPr>
            <w:tcW w:w="1560" w:type="dxa"/>
            <w:vAlign w:val="bottom"/>
          </w:tcPr>
          <w:p w14:paraId="3BD2AE89"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4,5%</w:t>
            </w:r>
          </w:p>
        </w:tc>
        <w:tc>
          <w:tcPr>
            <w:tcW w:w="1559" w:type="dxa"/>
            <w:vAlign w:val="bottom"/>
          </w:tcPr>
          <w:p w14:paraId="1C7E9F7B"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4,2%</w:t>
            </w:r>
          </w:p>
        </w:tc>
        <w:tc>
          <w:tcPr>
            <w:tcW w:w="1559" w:type="dxa"/>
            <w:vAlign w:val="bottom"/>
          </w:tcPr>
          <w:p w14:paraId="40B8DFC4"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3,9%</w:t>
            </w:r>
          </w:p>
        </w:tc>
      </w:tr>
      <w:tr w:rsidR="00EE22B1" w14:paraId="2F306833" w14:textId="77777777" w:rsidTr="00EE22B1">
        <w:trPr>
          <w:trHeight w:val="1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6AF8F6EF"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Málaga</w:t>
            </w:r>
          </w:p>
        </w:tc>
        <w:tc>
          <w:tcPr>
            <w:tcW w:w="2976" w:type="dxa"/>
            <w:vAlign w:val="bottom"/>
          </w:tcPr>
          <w:p w14:paraId="6C262ECD"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Manilva</w:t>
            </w:r>
          </w:p>
        </w:tc>
        <w:tc>
          <w:tcPr>
            <w:tcW w:w="1560" w:type="dxa"/>
            <w:vAlign w:val="bottom"/>
          </w:tcPr>
          <w:p w14:paraId="0FDE519B"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5EED66C5"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5,7%</w:t>
            </w:r>
          </w:p>
        </w:tc>
        <w:tc>
          <w:tcPr>
            <w:tcW w:w="1559" w:type="dxa"/>
            <w:vAlign w:val="bottom"/>
          </w:tcPr>
          <w:p w14:paraId="548C8E00"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3,9%</w:t>
            </w:r>
          </w:p>
        </w:tc>
      </w:tr>
      <w:tr w:rsidR="00EE22B1" w14:paraId="0A2764B2" w14:textId="77777777" w:rsidTr="00EE22B1">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6F1A29F7"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Murcia</w:t>
            </w:r>
          </w:p>
        </w:tc>
        <w:tc>
          <w:tcPr>
            <w:tcW w:w="2976" w:type="dxa"/>
            <w:vAlign w:val="bottom"/>
          </w:tcPr>
          <w:p w14:paraId="59C8E6D5"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Torre-Pacheco</w:t>
            </w:r>
          </w:p>
        </w:tc>
        <w:tc>
          <w:tcPr>
            <w:tcW w:w="1560" w:type="dxa"/>
            <w:vAlign w:val="bottom"/>
          </w:tcPr>
          <w:p w14:paraId="0B4C6E32"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0E2C2E76"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4FFF247B"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3,9%</w:t>
            </w:r>
          </w:p>
        </w:tc>
      </w:tr>
      <w:tr w:rsidR="00EE22B1" w14:paraId="54922C0F" w14:textId="77777777" w:rsidTr="00EE22B1">
        <w:trPr>
          <w:trHeight w:val="140"/>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244EA442"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Málaga</w:t>
            </w:r>
          </w:p>
        </w:tc>
        <w:tc>
          <w:tcPr>
            <w:tcW w:w="2976" w:type="dxa"/>
            <w:vAlign w:val="bottom"/>
          </w:tcPr>
          <w:p w14:paraId="7800362A"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Torrox</w:t>
            </w:r>
          </w:p>
        </w:tc>
        <w:tc>
          <w:tcPr>
            <w:tcW w:w="1560" w:type="dxa"/>
            <w:vAlign w:val="bottom"/>
          </w:tcPr>
          <w:p w14:paraId="3B2AE052"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76EC7564"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4,9%</w:t>
            </w:r>
          </w:p>
        </w:tc>
        <w:tc>
          <w:tcPr>
            <w:tcW w:w="1559" w:type="dxa"/>
            <w:vAlign w:val="bottom"/>
          </w:tcPr>
          <w:p w14:paraId="686061BB"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3,8%</w:t>
            </w:r>
          </w:p>
        </w:tc>
      </w:tr>
      <w:tr w:rsidR="00EE22B1" w14:paraId="74DFD716" w14:textId="77777777" w:rsidTr="00EE22B1">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06B10F39"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Castellón</w:t>
            </w:r>
          </w:p>
        </w:tc>
        <w:tc>
          <w:tcPr>
            <w:tcW w:w="2976" w:type="dxa"/>
            <w:vAlign w:val="bottom"/>
          </w:tcPr>
          <w:p w14:paraId="51A1B407"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Benicasim / Benicàssim</w:t>
            </w:r>
          </w:p>
        </w:tc>
        <w:tc>
          <w:tcPr>
            <w:tcW w:w="1560" w:type="dxa"/>
            <w:vAlign w:val="bottom"/>
          </w:tcPr>
          <w:p w14:paraId="438464D5"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491D159F"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4,5%</w:t>
            </w:r>
          </w:p>
        </w:tc>
        <w:tc>
          <w:tcPr>
            <w:tcW w:w="1559" w:type="dxa"/>
            <w:vAlign w:val="bottom"/>
          </w:tcPr>
          <w:p w14:paraId="7BD35138"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3,8%</w:t>
            </w:r>
          </w:p>
        </w:tc>
      </w:tr>
      <w:tr w:rsidR="00EE22B1" w14:paraId="40B2E49F" w14:textId="77777777" w:rsidTr="00EE22B1">
        <w:trPr>
          <w:trHeight w:val="382"/>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4A4B7009"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Cádiz</w:t>
            </w:r>
          </w:p>
        </w:tc>
        <w:tc>
          <w:tcPr>
            <w:tcW w:w="2976" w:type="dxa"/>
            <w:vAlign w:val="bottom"/>
          </w:tcPr>
          <w:p w14:paraId="4B15EBA6"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Conil de la Frontera</w:t>
            </w:r>
          </w:p>
        </w:tc>
        <w:tc>
          <w:tcPr>
            <w:tcW w:w="1560" w:type="dxa"/>
            <w:vAlign w:val="bottom"/>
          </w:tcPr>
          <w:p w14:paraId="22FE2C1A"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0BEEB166"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4,0%</w:t>
            </w:r>
          </w:p>
        </w:tc>
        <w:tc>
          <w:tcPr>
            <w:tcW w:w="1559" w:type="dxa"/>
            <w:vAlign w:val="bottom"/>
          </w:tcPr>
          <w:p w14:paraId="5F184243"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3,8%</w:t>
            </w:r>
          </w:p>
        </w:tc>
      </w:tr>
      <w:tr w:rsidR="00EE22B1" w14:paraId="40AEA805" w14:textId="77777777" w:rsidTr="00EE22B1">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29F99143"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Málaga</w:t>
            </w:r>
          </w:p>
        </w:tc>
        <w:tc>
          <w:tcPr>
            <w:tcW w:w="2976" w:type="dxa"/>
            <w:vAlign w:val="bottom"/>
          </w:tcPr>
          <w:p w14:paraId="66468796"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Benahavís</w:t>
            </w:r>
          </w:p>
        </w:tc>
        <w:tc>
          <w:tcPr>
            <w:tcW w:w="1560" w:type="dxa"/>
            <w:vAlign w:val="bottom"/>
          </w:tcPr>
          <w:p w14:paraId="3ACC73F0"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50888DFC"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4,0%</w:t>
            </w:r>
          </w:p>
        </w:tc>
        <w:tc>
          <w:tcPr>
            <w:tcW w:w="1559" w:type="dxa"/>
            <w:vAlign w:val="bottom"/>
          </w:tcPr>
          <w:p w14:paraId="21BBE78C"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3,7%</w:t>
            </w:r>
          </w:p>
        </w:tc>
      </w:tr>
      <w:tr w:rsidR="00EE22B1" w14:paraId="4709DFCA" w14:textId="77777777" w:rsidTr="00EE22B1">
        <w:trPr>
          <w:trHeight w:val="308"/>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0770B092"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Almería</w:t>
            </w:r>
          </w:p>
        </w:tc>
        <w:tc>
          <w:tcPr>
            <w:tcW w:w="2976" w:type="dxa"/>
            <w:vAlign w:val="bottom"/>
          </w:tcPr>
          <w:p w14:paraId="093281F9"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Vera</w:t>
            </w:r>
          </w:p>
        </w:tc>
        <w:tc>
          <w:tcPr>
            <w:tcW w:w="1560" w:type="dxa"/>
            <w:vAlign w:val="bottom"/>
          </w:tcPr>
          <w:p w14:paraId="71B0D205"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2775FC3C"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5,0%</w:t>
            </w:r>
          </w:p>
        </w:tc>
        <w:tc>
          <w:tcPr>
            <w:tcW w:w="1559" w:type="dxa"/>
            <w:vAlign w:val="bottom"/>
          </w:tcPr>
          <w:p w14:paraId="745A4B5B"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3,7%</w:t>
            </w:r>
          </w:p>
        </w:tc>
      </w:tr>
      <w:tr w:rsidR="00EE22B1" w14:paraId="478F6882" w14:textId="77777777" w:rsidTr="00EE22B1">
        <w:trPr>
          <w:cnfStyle w:val="000000100000" w:firstRow="0" w:lastRow="0" w:firstColumn="0" w:lastColumn="0" w:oddVBand="0" w:evenVBand="0" w:oddHBand="1" w:evenHBand="0" w:firstRowFirstColumn="0" w:firstRowLastColumn="0" w:lastRowFirstColumn="0" w:lastRowLastColumn="0"/>
          <w:trHeight w:val="217"/>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60DB1A6D"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Barcelona</w:t>
            </w:r>
          </w:p>
        </w:tc>
        <w:tc>
          <w:tcPr>
            <w:tcW w:w="2976" w:type="dxa"/>
            <w:vAlign w:val="bottom"/>
          </w:tcPr>
          <w:p w14:paraId="5091C3D4"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Sant Cugat del Vallès</w:t>
            </w:r>
          </w:p>
        </w:tc>
        <w:tc>
          <w:tcPr>
            <w:tcW w:w="1560" w:type="dxa"/>
            <w:vAlign w:val="bottom"/>
          </w:tcPr>
          <w:p w14:paraId="03127C01"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3,8%</w:t>
            </w:r>
          </w:p>
        </w:tc>
        <w:tc>
          <w:tcPr>
            <w:tcW w:w="1559" w:type="dxa"/>
            <w:vAlign w:val="bottom"/>
          </w:tcPr>
          <w:p w14:paraId="772BD99F"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4,0%</w:t>
            </w:r>
          </w:p>
        </w:tc>
        <w:tc>
          <w:tcPr>
            <w:tcW w:w="1559" w:type="dxa"/>
            <w:vAlign w:val="bottom"/>
          </w:tcPr>
          <w:p w14:paraId="6848AFDC"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3,6%</w:t>
            </w:r>
          </w:p>
        </w:tc>
      </w:tr>
      <w:tr w:rsidR="00EE22B1" w14:paraId="720ED702" w14:textId="77777777" w:rsidTr="00EE22B1">
        <w:trPr>
          <w:trHeight w:val="423"/>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63A9180B"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Madrid</w:t>
            </w:r>
          </w:p>
        </w:tc>
        <w:tc>
          <w:tcPr>
            <w:tcW w:w="2976" w:type="dxa"/>
            <w:vAlign w:val="bottom"/>
          </w:tcPr>
          <w:p w14:paraId="690C4F83"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Las Rozas de Madrid</w:t>
            </w:r>
          </w:p>
        </w:tc>
        <w:tc>
          <w:tcPr>
            <w:tcW w:w="1560" w:type="dxa"/>
            <w:vAlign w:val="bottom"/>
          </w:tcPr>
          <w:p w14:paraId="1853358D"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4,5%</w:t>
            </w:r>
          </w:p>
        </w:tc>
        <w:tc>
          <w:tcPr>
            <w:tcW w:w="1559" w:type="dxa"/>
            <w:vAlign w:val="bottom"/>
          </w:tcPr>
          <w:p w14:paraId="4B3A1759"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4,4%</w:t>
            </w:r>
          </w:p>
        </w:tc>
        <w:tc>
          <w:tcPr>
            <w:tcW w:w="1559" w:type="dxa"/>
            <w:vAlign w:val="bottom"/>
          </w:tcPr>
          <w:p w14:paraId="0E9E82DB"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3,6%</w:t>
            </w:r>
          </w:p>
        </w:tc>
      </w:tr>
      <w:tr w:rsidR="00EE22B1" w14:paraId="1D59E04B" w14:textId="77777777" w:rsidTr="00EE22B1">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3E5B648F"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Alicante</w:t>
            </w:r>
          </w:p>
        </w:tc>
        <w:tc>
          <w:tcPr>
            <w:tcW w:w="2976" w:type="dxa"/>
            <w:vAlign w:val="bottom"/>
          </w:tcPr>
          <w:p w14:paraId="532D8D1A"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Calpe / Calp</w:t>
            </w:r>
          </w:p>
        </w:tc>
        <w:tc>
          <w:tcPr>
            <w:tcW w:w="1560" w:type="dxa"/>
            <w:vAlign w:val="bottom"/>
          </w:tcPr>
          <w:p w14:paraId="158AFF68"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1074EDE9"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3,7%</w:t>
            </w:r>
          </w:p>
        </w:tc>
        <w:tc>
          <w:tcPr>
            <w:tcW w:w="1559" w:type="dxa"/>
            <w:vAlign w:val="bottom"/>
          </w:tcPr>
          <w:p w14:paraId="70D7AECD"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3,5%</w:t>
            </w:r>
          </w:p>
        </w:tc>
      </w:tr>
      <w:tr w:rsidR="00EE22B1" w14:paraId="703F0C63" w14:textId="77777777" w:rsidTr="00EE22B1">
        <w:trPr>
          <w:trHeight w:val="381"/>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1BFE4D6D"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Illes Balears</w:t>
            </w:r>
          </w:p>
        </w:tc>
        <w:tc>
          <w:tcPr>
            <w:tcW w:w="2976" w:type="dxa"/>
            <w:vAlign w:val="bottom"/>
          </w:tcPr>
          <w:p w14:paraId="05ED2093"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Santa Eulària des Riu</w:t>
            </w:r>
          </w:p>
        </w:tc>
        <w:tc>
          <w:tcPr>
            <w:tcW w:w="1560" w:type="dxa"/>
            <w:vAlign w:val="bottom"/>
          </w:tcPr>
          <w:p w14:paraId="75074FF0"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34928E4B"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7569A07F"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3,3%</w:t>
            </w:r>
          </w:p>
        </w:tc>
      </w:tr>
      <w:tr w:rsidR="00EE22B1" w14:paraId="7E290C4F" w14:textId="77777777" w:rsidTr="00EE22B1">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3DCB33AB"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Gipuzkoa</w:t>
            </w:r>
          </w:p>
        </w:tc>
        <w:tc>
          <w:tcPr>
            <w:tcW w:w="2976" w:type="dxa"/>
            <w:vAlign w:val="bottom"/>
          </w:tcPr>
          <w:p w14:paraId="3789EAC8"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Donostia - San Sebastián</w:t>
            </w:r>
          </w:p>
        </w:tc>
        <w:tc>
          <w:tcPr>
            <w:tcW w:w="1560" w:type="dxa"/>
            <w:vAlign w:val="bottom"/>
          </w:tcPr>
          <w:p w14:paraId="4100D552"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3,5%</w:t>
            </w:r>
          </w:p>
        </w:tc>
        <w:tc>
          <w:tcPr>
            <w:tcW w:w="1559" w:type="dxa"/>
            <w:vAlign w:val="bottom"/>
          </w:tcPr>
          <w:p w14:paraId="58047C63"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3,3%</w:t>
            </w:r>
          </w:p>
        </w:tc>
        <w:tc>
          <w:tcPr>
            <w:tcW w:w="1559" w:type="dxa"/>
            <w:vAlign w:val="bottom"/>
          </w:tcPr>
          <w:p w14:paraId="3F24B463"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3,1%</w:t>
            </w:r>
          </w:p>
        </w:tc>
      </w:tr>
      <w:tr w:rsidR="00EE22B1" w14:paraId="25A6CA70" w14:textId="77777777" w:rsidTr="00EE22B1">
        <w:trPr>
          <w:trHeight w:val="275"/>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07CA2472"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Huesca</w:t>
            </w:r>
          </w:p>
        </w:tc>
        <w:tc>
          <w:tcPr>
            <w:tcW w:w="2976" w:type="dxa"/>
            <w:vAlign w:val="bottom"/>
          </w:tcPr>
          <w:p w14:paraId="70E4D2B2" w14:textId="77777777" w:rsidR="00EE22B1"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Huesca Capital</w:t>
            </w:r>
          </w:p>
        </w:tc>
        <w:tc>
          <w:tcPr>
            <w:tcW w:w="1560" w:type="dxa"/>
            <w:vAlign w:val="bottom"/>
          </w:tcPr>
          <w:p w14:paraId="1573FA17"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1D4E0EE9"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7,9%</w:t>
            </w:r>
          </w:p>
        </w:tc>
        <w:tc>
          <w:tcPr>
            <w:tcW w:w="1559" w:type="dxa"/>
            <w:vAlign w:val="bottom"/>
          </w:tcPr>
          <w:p w14:paraId="569ED038"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p>
        </w:tc>
      </w:tr>
      <w:tr w:rsidR="00EE22B1" w14:paraId="6900D31C" w14:textId="77777777" w:rsidTr="00EE22B1">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1555" w:type="dxa"/>
            <w:vAlign w:val="bottom"/>
          </w:tcPr>
          <w:p w14:paraId="0AB0F937"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Soria</w:t>
            </w:r>
          </w:p>
        </w:tc>
        <w:tc>
          <w:tcPr>
            <w:tcW w:w="2976" w:type="dxa"/>
            <w:vAlign w:val="bottom"/>
          </w:tcPr>
          <w:p w14:paraId="4255743E" w14:textId="77777777" w:rsidR="00EE22B1"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Soria Capital</w:t>
            </w:r>
          </w:p>
        </w:tc>
        <w:tc>
          <w:tcPr>
            <w:tcW w:w="1560" w:type="dxa"/>
            <w:vAlign w:val="bottom"/>
          </w:tcPr>
          <w:p w14:paraId="63595061"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559" w:type="dxa"/>
            <w:vAlign w:val="bottom"/>
          </w:tcPr>
          <w:p w14:paraId="746D7B9E"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5,9%</w:t>
            </w:r>
          </w:p>
        </w:tc>
        <w:tc>
          <w:tcPr>
            <w:tcW w:w="1559" w:type="dxa"/>
            <w:vAlign w:val="bottom"/>
          </w:tcPr>
          <w:p w14:paraId="272C4932" w14:textId="77777777" w:rsidR="00EE22B1" w:rsidRDefault="00EE22B1">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p>
        </w:tc>
      </w:tr>
    </w:tbl>
    <w:p w14:paraId="5FAFD21B" w14:textId="77777777" w:rsidR="00EE22B1" w:rsidRDefault="00EE22B1">
      <w:pPr>
        <w:jc w:val="both"/>
        <w:rPr>
          <w:rFonts w:ascii="Open Sans Light" w:eastAsia="Open Sans Light" w:hAnsi="Open Sans Light" w:cs="Open Sans Light"/>
          <w:color w:val="404040"/>
        </w:rPr>
      </w:pPr>
    </w:p>
    <w:p w14:paraId="771C3617" w14:textId="77777777" w:rsidR="00EE22B1" w:rsidRDefault="00000000">
      <w:pPr>
        <w:pBdr>
          <w:top w:val="nil"/>
          <w:left w:val="nil"/>
          <w:bottom w:val="nil"/>
          <w:right w:val="nil"/>
          <w:between w:val="nil"/>
        </w:pBdr>
        <w:shd w:val="clear" w:color="auto" w:fill="FFFFFF"/>
        <w:spacing w:before="280" w:after="280" w:line="276" w:lineRule="auto"/>
        <w:ind w:left="-142" w:right="-574"/>
        <w:jc w:val="both"/>
        <w:rPr>
          <w:rFonts w:ascii="Open Sans Light" w:eastAsia="Open Sans Light" w:hAnsi="Open Sans Light" w:cs="Open Sans Light"/>
          <w:b/>
          <w:bCs/>
          <w:color w:val="303AB2"/>
          <w:sz w:val="28"/>
          <w:szCs w:val="28"/>
        </w:rPr>
      </w:pPr>
      <w:r>
        <w:rPr>
          <w:rFonts w:ascii="Open Sans Light" w:eastAsia="Open Sans Light" w:hAnsi="Open Sans Light" w:cs="Open Sans Light"/>
          <w:b/>
          <w:bCs/>
          <w:color w:val="303AB2"/>
        </w:rPr>
        <w:t>Tabla 4. Rentabilidad de la vivienda por distritos de Madrid en 2021, 2025 y 2026</w:t>
      </w:r>
    </w:p>
    <w:tbl>
      <w:tblPr>
        <w:tblStyle w:val="a2"/>
        <w:tblpPr w:leftFromText="141" w:rightFromText="141" w:vertAnchor="text" w:tblpY="40"/>
        <w:tblW w:w="9184"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002"/>
        <w:gridCol w:w="2064"/>
        <w:gridCol w:w="2187"/>
        <w:gridCol w:w="1931"/>
      </w:tblGrid>
      <w:tr w:rsidR="00EE22B1" w14:paraId="5D5B4B36" w14:textId="77777777" w:rsidTr="00EE22B1">
        <w:trPr>
          <w:cnfStyle w:val="100000000000" w:firstRow="1" w:lastRow="0" w:firstColumn="0" w:lastColumn="0" w:oddVBand="0" w:evenVBand="0" w:oddHBand="0"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002" w:type="dxa"/>
            <w:vAlign w:val="center"/>
          </w:tcPr>
          <w:p w14:paraId="1053F9DC" w14:textId="77777777" w:rsidR="00EE22B1" w:rsidRDefault="00000000">
            <w:pPr>
              <w:jc w:val="center"/>
              <w:rPr>
                <w:rFonts w:ascii="Open Sans" w:eastAsia="Open Sans" w:hAnsi="Open Sans" w:cs="Open Sans"/>
                <w:sz w:val="22"/>
                <w:szCs w:val="22"/>
              </w:rPr>
            </w:pPr>
            <w:r>
              <w:rPr>
                <w:rFonts w:ascii="Open Sans" w:eastAsia="Open Sans" w:hAnsi="Open Sans" w:cs="Open Sans"/>
                <w:b w:val="0"/>
                <w:bCs w:val="0"/>
                <w:sz w:val="22"/>
                <w:szCs w:val="22"/>
              </w:rPr>
              <w:t>Distritos de Madrid</w:t>
            </w:r>
          </w:p>
        </w:tc>
        <w:tc>
          <w:tcPr>
            <w:tcW w:w="2064" w:type="dxa"/>
            <w:vAlign w:val="center"/>
          </w:tcPr>
          <w:p w14:paraId="00A516D0" w14:textId="77777777" w:rsidR="00EE22B1" w:rsidRDefault="00000000">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b w:val="0"/>
                <w:bCs w:val="0"/>
                <w:color w:val="000000"/>
                <w:sz w:val="22"/>
                <w:szCs w:val="22"/>
              </w:rPr>
              <w:t>Rentabilidad</w:t>
            </w:r>
          </w:p>
          <w:p w14:paraId="5868CB47" w14:textId="77777777" w:rsidR="00EE22B1" w:rsidRDefault="00000000">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b w:val="0"/>
                <w:bCs w:val="0"/>
                <w:color w:val="000000"/>
                <w:sz w:val="22"/>
                <w:szCs w:val="22"/>
              </w:rPr>
              <w:t>2T-2021</w:t>
            </w:r>
          </w:p>
          <w:p w14:paraId="474B58F5" w14:textId="77777777" w:rsidR="00EE22B1" w:rsidRDefault="00000000">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color w:val="000000"/>
                <w:sz w:val="20"/>
                <w:szCs w:val="20"/>
              </w:rPr>
            </w:pPr>
            <w:r>
              <w:rPr>
                <w:rFonts w:ascii="Open Sans" w:eastAsia="Open Sans" w:hAnsi="Open Sans" w:cs="Open Sans"/>
                <w:b w:val="0"/>
                <w:bCs w:val="0"/>
                <w:color w:val="000000"/>
                <w:sz w:val="22"/>
                <w:szCs w:val="22"/>
              </w:rPr>
              <w:t>(5 años)</w:t>
            </w:r>
          </w:p>
        </w:tc>
        <w:tc>
          <w:tcPr>
            <w:tcW w:w="2187" w:type="dxa"/>
            <w:vAlign w:val="center"/>
          </w:tcPr>
          <w:p w14:paraId="30A07F1A" w14:textId="77777777" w:rsidR="00EE22B1" w:rsidRDefault="00000000">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b w:val="0"/>
                <w:bCs w:val="0"/>
                <w:color w:val="000000"/>
                <w:sz w:val="22"/>
                <w:szCs w:val="22"/>
              </w:rPr>
              <w:t>Rentabilidad</w:t>
            </w:r>
          </w:p>
          <w:p w14:paraId="1838E8F5" w14:textId="77777777" w:rsidR="00EE22B1" w:rsidRDefault="00000000">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b w:val="0"/>
                <w:bCs w:val="0"/>
                <w:color w:val="000000"/>
                <w:sz w:val="22"/>
                <w:szCs w:val="22"/>
              </w:rPr>
              <w:t>2T-2025</w:t>
            </w:r>
          </w:p>
          <w:p w14:paraId="5A4DB0AE" w14:textId="77777777" w:rsidR="00EE22B1" w:rsidRDefault="00000000">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b w:val="0"/>
                <w:bCs w:val="0"/>
                <w:color w:val="000000"/>
                <w:sz w:val="22"/>
                <w:szCs w:val="22"/>
              </w:rPr>
              <w:t>(1 año)</w:t>
            </w:r>
          </w:p>
        </w:tc>
        <w:tc>
          <w:tcPr>
            <w:tcW w:w="1931" w:type="dxa"/>
            <w:vAlign w:val="center"/>
          </w:tcPr>
          <w:p w14:paraId="717FED75" w14:textId="77777777" w:rsidR="00EE22B1" w:rsidRDefault="00000000">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b w:val="0"/>
                <w:bCs w:val="0"/>
                <w:color w:val="000000"/>
                <w:sz w:val="22"/>
                <w:szCs w:val="22"/>
              </w:rPr>
              <w:t>Rentabilidad</w:t>
            </w:r>
          </w:p>
          <w:p w14:paraId="53C59112" w14:textId="77777777" w:rsidR="00EE22B1" w:rsidRDefault="00000000">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i/>
                <w:iCs/>
                <w:color w:val="000000"/>
                <w:sz w:val="22"/>
                <w:szCs w:val="22"/>
              </w:rPr>
            </w:pPr>
            <w:r>
              <w:rPr>
                <w:rFonts w:ascii="Open Sans" w:eastAsia="Open Sans" w:hAnsi="Open Sans" w:cs="Open Sans"/>
                <w:b w:val="0"/>
                <w:bCs w:val="0"/>
                <w:color w:val="000000"/>
                <w:sz w:val="22"/>
                <w:szCs w:val="22"/>
              </w:rPr>
              <w:t>2T-2026</w:t>
            </w:r>
          </w:p>
        </w:tc>
      </w:tr>
      <w:tr w:rsidR="00EE22B1" w14:paraId="38F3838A" w14:textId="77777777" w:rsidTr="00EE22B1">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002" w:type="dxa"/>
            <w:vAlign w:val="bottom"/>
          </w:tcPr>
          <w:p w14:paraId="12613122"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Puente de Vallecas</w:t>
            </w:r>
          </w:p>
        </w:tc>
        <w:tc>
          <w:tcPr>
            <w:tcW w:w="2064" w:type="dxa"/>
            <w:vAlign w:val="bottom"/>
          </w:tcPr>
          <w:p w14:paraId="35A6A903"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6,9%</w:t>
            </w:r>
          </w:p>
        </w:tc>
        <w:tc>
          <w:tcPr>
            <w:tcW w:w="2187" w:type="dxa"/>
            <w:vAlign w:val="bottom"/>
          </w:tcPr>
          <w:p w14:paraId="55AEB2C1"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8,7%</w:t>
            </w:r>
          </w:p>
        </w:tc>
        <w:tc>
          <w:tcPr>
            <w:tcW w:w="1931" w:type="dxa"/>
            <w:vAlign w:val="bottom"/>
          </w:tcPr>
          <w:p w14:paraId="2A0C67B6"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7,3%</w:t>
            </w:r>
          </w:p>
        </w:tc>
      </w:tr>
      <w:tr w:rsidR="00EE22B1" w14:paraId="75667A03" w14:textId="77777777" w:rsidTr="00EE22B1">
        <w:trPr>
          <w:trHeight w:val="252"/>
        </w:trPr>
        <w:tc>
          <w:tcPr>
            <w:cnfStyle w:val="001000000000" w:firstRow="0" w:lastRow="0" w:firstColumn="1" w:lastColumn="0" w:oddVBand="0" w:evenVBand="0" w:oddHBand="0" w:evenHBand="0" w:firstRowFirstColumn="0" w:firstRowLastColumn="0" w:lastRowFirstColumn="0" w:lastRowLastColumn="0"/>
            <w:tcW w:w="3002" w:type="dxa"/>
            <w:vAlign w:val="bottom"/>
          </w:tcPr>
          <w:p w14:paraId="710A177A"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Villaverde</w:t>
            </w:r>
          </w:p>
        </w:tc>
        <w:tc>
          <w:tcPr>
            <w:tcW w:w="2064" w:type="dxa"/>
            <w:vAlign w:val="bottom"/>
          </w:tcPr>
          <w:p w14:paraId="2B339510"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7,6%</w:t>
            </w:r>
          </w:p>
        </w:tc>
        <w:tc>
          <w:tcPr>
            <w:tcW w:w="2187" w:type="dxa"/>
            <w:vAlign w:val="bottom"/>
          </w:tcPr>
          <w:p w14:paraId="74EA5675"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10,8%</w:t>
            </w:r>
          </w:p>
        </w:tc>
        <w:tc>
          <w:tcPr>
            <w:tcW w:w="1931" w:type="dxa"/>
            <w:vAlign w:val="bottom"/>
          </w:tcPr>
          <w:p w14:paraId="5D03C9ED"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7,0%</w:t>
            </w:r>
          </w:p>
        </w:tc>
      </w:tr>
      <w:tr w:rsidR="00EE22B1" w14:paraId="7CD556AB" w14:textId="77777777" w:rsidTr="00EE22B1">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002" w:type="dxa"/>
            <w:vAlign w:val="bottom"/>
          </w:tcPr>
          <w:p w14:paraId="7763BB06"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Usera</w:t>
            </w:r>
          </w:p>
        </w:tc>
        <w:tc>
          <w:tcPr>
            <w:tcW w:w="2064" w:type="dxa"/>
            <w:vAlign w:val="bottom"/>
          </w:tcPr>
          <w:p w14:paraId="480AD1C9"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6,5%</w:t>
            </w:r>
          </w:p>
        </w:tc>
        <w:tc>
          <w:tcPr>
            <w:tcW w:w="2187" w:type="dxa"/>
            <w:vAlign w:val="bottom"/>
          </w:tcPr>
          <w:p w14:paraId="621EE88E"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8,1%</w:t>
            </w:r>
          </w:p>
        </w:tc>
        <w:tc>
          <w:tcPr>
            <w:tcW w:w="1931" w:type="dxa"/>
            <w:vAlign w:val="bottom"/>
          </w:tcPr>
          <w:p w14:paraId="56CC75F0"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6,9%</w:t>
            </w:r>
          </w:p>
        </w:tc>
      </w:tr>
      <w:tr w:rsidR="00EE22B1" w14:paraId="279C3DB0" w14:textId="77777777" w:rsidTr="00EE22B1">
        <w:trPr>
          <w:trHeight w:val="252"/>
        </w:trPr>
        <w:tc>
          <w:tcPr>
            <w:cnfStyle w:val="001000000000" w:firstRow="0" w:lastRow="0" w:firstColumn="1" w:lastColumn="0" w:oddVBand="0" w:evenVBand="0" w:oddHBand="0" w:evenHBand="0" w:firstRowFirstColumn="0" w:firstRowLastColumn="0" w:lastRowFirstColumn="0" w:lastRowLastColumn="0"/>
            <w:tcW w:w="3002" w:type="dxa"/>
            <w:vAlign w:val="bottom"/>
          </w:tcPr>
          <w:p w14:paraId="1F6AE033"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Carabanchel</w:t>
            </w:r>
          </w:p>
        </w:tc>
        <w:tc>
          <w:tcPr>
            <w:tcW w:w="2064" w:type="dxa"/>
            <w:vAlign w:val="bottom"/>
          </w:tcPr>
          <w:p w14:paraId="6227C497"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6,1%</w:t>
            </w:r>
          </w:p>
        </w:tc>
        <w:tc>
          <w:tcPr>
            <w:tcW w:w="2187" w:type="dxa"/>
            <w:vAlign w:val="bottom"/>
          </w:tcPr>
          <w:p w14:paraId="2AADBA4F"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7,1%</w:t>
            </w:r>
          </w:p>
        </w:tc>
        <w:tc>
          <w:tcPr>
            <w:tcW w:w="1931" w:type="dxa"/>
            <w:vAlign w:val="bottom"/>
          </w:tcPr>
          <w:p w14:paraId="65D1404A"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6,6%</w:t>
            </w:r>
          </w:p>
        </w:tc>
      </w:tr>
      <w:tr w:rsidR="00EE22B1" w14:paraId="40962317" w14:textId="77777777" w:rsidTr="00EE22B1">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3002" w:type="dxa"/>
            <w:vAlign w:val="bottom"/>
          </w:tcPr>
          <w:p w14:paraId="2FF74482"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Latina</w:t>
            </w:r>
          </w:p>
        </w:tc>
        <w:tc>
          <w:tcPr>
            <w:tcW w:w="2064" w:type="dxa"/>
            <w:vAlign w:val="bottom"/>
          </w:tcPr>
          <w:p w14:paraId="3C0BF237"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5,9%</w:t>
            </w:r>
          </w:p>
        </w:tc>
        <w:tc>
          <w:tcPr>
            <w:tcW w:w="2187" w:type="dxa"/>
            <w:vAlign w:val="bottom"/>
          </w:tcPr>
          <w:p w14:paraId="3157EA4B"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7,2%</w:t>
            </w:r>
          </w:p>
        </w:tc>
        <w:tc>
          <w:tcPr>
            <w:tcW w:w="1931" w:type="dxa"/>
            <w:vAlign w:val="bottom"/>
          </w:tcPr>
          <w:p w14:paraId="14C40F92"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6,4%</w:t>
            </w:r>
          </w:p>
        </w:tc>
      </w:tr>
      <w:tr w:rsidR="00EE22B1" w14:paraId="087E07DB" w14:textId="77777777" w:rsidTr="00EE22B1">
        <w:trPr>
          <w:trHeight w:val="266"/>
        </w:trPr>
        <w:tc>
          <w:tcPr>
            <w:cnfStyle w:val="001000000000" w:firstRow="0" w:lastRow="0" w:firstColumn="1" w:lastColumn="0" w:oddVBand="0" w:evenVBand="0" w:oddHBand="0" w:evenHBand="0" w:firstRowFirstColumn="0" w:firstRowLastColumn="0" w:lastRowFirstColumn="0" w:lastRowLastColumn="0"/>
            <w:tcW w:w="3002" w:type="dxa"/>
            <w:vAlign w:val="bottom"/>
          </w:tcPr>
          <w:p w14:paraId="5ACCF508"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Vicálvaro</w:t>
            </w:r>
          </w:p>
        </w:tc>
        <w:tc>
          <w:tcPr>
            <w:tcW w:w="2064" w:type="dxa"/>
            <w:vAlign w:val="bottom"/>
          </w:tcPr>
          <w:p w14:paraId="03E11F48"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5,0%</w:t>
            </w:r>
          </w:p>
        </w:tc>
        <w:tc>
          <w:tcPr>
            <w:tcW w:w="2187" w:type="dxa"/>
            <w:vAlign w:val="bottom"/>
          </w:tcPr>
          <w:p w14:paraId="6E79CBCB"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6,0%</w:t>
            </w:r>
          </w:p>
        </w:tc>
        <w:tc>
          <w:tcPr>
            <w:tcW w:w="1931" w:type="dxa"/>
            <w:vAlign w:val="bottom"/>
          </w:tcPr>
          <w:p w14:paraId="518C2541"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5,5%</w:t>
            </w:r>
          </w:p>
        </w:tc>
      </w:tr>
      <w:tr w:rsidR="00EE22B1" w14:paraId="37E4E125" w14:textId="77777777" w:rsidTr="00EE22B1">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3002" w:type="dxa"/>
            <w:vAlign w:val="bottom"/>
          </w:tcPr>
          <w:p w14:paraId="66001CD8"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lastRenderedPageBreak/>
              <w:t>San Blas</w:t>
            </w:r>
          </w:p>
        </w:tc>
        <w:tc>
          <w:tcPr>
            <w:tcW w:w="2064" w:type="dxa"/>
            <w:vAlign w:val="bottom"/>
          </w:tcPr>
          <w:p w14:paraId="2D5F84D4"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5,0%</w:t>
            </w:r>
          </w:p>
        </w:tc>
        <w:tc>
          <w:tcPr>
            <w:tcW w:w="2187" w:type="dxa"/>
            <w:vAlign w:val="bottom"/>
          </w:tcPr>
          <w:p w14:paraId="4477843E"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5,7%</w:t>
            </w:r>
          </w:p>
        </w:tc>
        <w:tc>
          <w:tcPr>
            <w:tcW w:w="1931" w:type="dxa"/>
            <w:vAlign w:val="bottom"/>
          </w:tcPr>
          <w:p w14:paraId="38192673"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5,3%</w:t>
            </w:r>
          </w:p>
        </w:tc>
      </w:tr>
      <w:tr w:rsidR="00EE22B1" w14:paraId="31A0165E" w14:textId="77777777" w:rsidTr="00EE22B1">
        <w:trPr>
          <w:trHeight w:val="266"/>
        </w:trPr>
        <w:tc>
          <w:tcPr>
            <w:cnfStyle w:val="001000000000" w:firstRow="0" w:lastRow="0" w:firstColumn="1" w:lastColumn="0" w:oddVBand="0" w:evenVBand="0" w:oddHBand="0" w:evenHBand="0" w:firstRowFirstColumn="0" w:firstRowLastColumn="0" w:lastRowFirstColumn="0" w:lastRowLastColumn="0"/>
            <w:tcW w:w="3002" w:type="dxa"/>
            <w:vAlign w:val="bottom"/>
          </w:tcPr>
          <w:p w14:paraId="629E1A56"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Villa de Vallecas</w:t>
            </w:r>
          </w:p>
        </w:tc>
        <w:tc>
          <w:tcPr>
            <w:tcW w:w="2064" w:type="dxa"/>
            <w:vAlign w:val="bottom"/>
          </w:tcPr>
          <w:p w14:paraId="66654389"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5,5%</w:t>
            </w:r>
          </w:p>
        </w:tc>
        <w:tc>
          <w:tcPr>
            <w:tcW w:w="2187" w:type="dxa"/>
            <w:vAlign w:val="bottom"/>
          </w:tcPr>
          <w:p w14:paraId="55DCC6FE"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6,9%</w:t>
            </w:r>
          </w:p>
        </w:tc>
        <w:tc>
          <w:tcPr>
            <w:tcW w:w="1931" w:type="dxa"/>
            <w:vAlign w:val="bottom"/>
          </w:tcPr>
          <w:p w14:paraId="11CAF184"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5,0%</w:t>
            </w:r>
          </w:p>
        </w:tc>
      </w:tr>
      <w:tr w:rsidR="00EE22B1" w14:paraId="17C53E72" w14:textId="77777777" w:rsidTr="00EE22B1">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3002" w:type="dxa"/>
            <w:vAlign w:val="bottom"/>
          </w:tcPr>
          <w:p w14:paraId="6586DD94"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Hortaleza</w:t>
            </w:r>
          </w:p>
        </w:tc>
        <w:tc>
          <w:tcPr>
            <w:tcW w:w="2064" w:type="dxa"/>
            <w:vAlign w:val="bottom"/>
          </w:tcPr>
          <w:p w14:paraId="01EF50E9"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4,0%</w:t>
            </w:r>
          </w:p>
        </w:tc>
        <w:tc>
          <w:tcPr>
            <w:tcW w:w="2187" w:type="dxa"/>
            <w:vAlign w:val="bottom"/>
          </w:tcPr>
          <w:p w14:paraId="54FF9B76"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4,8%</w:t>
            </w:r>
          </w:p>
        </w:tc>
        <w:tc>
          <w:tcPr>
            <w:tcW w:w="1931" w:type="dxa"/>
            <w:vAlign w:val="bottom"/>
          </w:tcPr>
          <w:p w14:paraId="6CFBED23"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4,9%</w:t>
            </w:r>
          </w:p>
        </w:tc>
      </w:tr>
      <w:tr w:rsidR="00EE22B1" w14:paraId="172BC89E" w14:textId="77777777" w:rsidTr="00EE22B1">
        <w:trPr>
          <w:trHeight w:val="266"/>
        </w:trPr>
        <w:tc>
          <w:tcPr>
            <w:cnfStyle w:val="001000000000" w:firstRow="0" w:lastRow="0" w:firstColumn="1" w:lastColumn="0" w:oddVBand="0" w:evenVBand="0" w:oddHBand="0" w:evenHBand="0" w:firstRowFirstColumn="0" w:firstRowLastColumn="0" w:lastRowFirstColumn="0" w:lastRowLastColumn="0"/>
            <w:tcW w:w="3002" w:type="dxa"/>
            <w:vAlign w:val="bottom"/>
          </w:tcPr>
          <w:p w14:paraId="04F95018"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Moratalaz</w:t>
            </w:r>
          </w:p>
        </w:tc>
        <w:tc>
          <w:tcPr>
            <w:tcW w:w="2064" w:type="dxa"/>
            <w:vAlign w:val="bottom"/>
          </w:tcPr>
          <w:p w14:paraId="6B82506E"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5,0%</w:t>
            </w:r>
          </w:p>
        </w:tc>
        <w:tc>
          <w:tcPr>
            <w:tcW w:w="2187" w:type="dxa"/>
            <w:vAlign w:val="bottom"/>
          </w:tcPr>
          <w:p w14:paraId="01547025"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4,8%</w:t>
            </w:r>
          </w:p>
        </w:tc>
        <w:tc>
          <w:tcPr>
            <w:tcW w:w="1931" w:type="dxa"/>
            <w:vAlign w:val="bottom"/>
          </w:tcPr>
          <w:p w14:paraId="1F5EE960"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4,8%</w:t>
            </w:r>
          </w:p>
        </w:tc>
      </w:tr>
      <w:tr w:rsidR="00EE22B1" w14:paraId="27BFE4F2" w14:textId="77777777" w:rsidTr="00EE22B1">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3002" w:type="dxa"/>
            <w:vAlign w:val="bottom"/>
          </w:tcPr>
          <w:p w14:paraId="05BC11FB"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Ciudad Lineal</w:t>
            </w:r>
          </w:p>
        </w:tc>
        <w:tc>
          <w:tcPr>
            <w:tcW w:w="2064" w:type="dxa"/>
            <w:vAlign w:val="bottom"/>
          </w:tcPr>
          <w:p w14:paraId="1B0A8B56"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4,7%</w:t>
            </w:r>
          </w:p>
        </w:tc>
        <w:tc>
          <w:tcPr>
            <w:tcW w:w="2187" w:type="dxa"/>
            <w:vAlign w:val="bottom"/>
          </w:tcPr>
          <w:p w14:paraId="7E902676"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4,9%</w:t>
            </w:r>
          </w:p>
        </w:tc>
        <w:tc>
          <w:tcPr>
            <w:tcW w:w="1931" w:type="dxa"/>
            <w:vAlign w:val="bottom"/>
          </w:tcPr>
          <w:p w14:paraId="7B20789C"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4,5%</w:t>
            </w:r>
          </w:p>
        </w:tc>
      </w:tr>
      <w:tr w:rsidR="00EE22B1" w14:paraId="79792EA2" w14:textId="77777777" w:rsidTr="00EE22B1">
        <w:trPr>
          <w:trHeight w:val="266"/>
        </w:trPr>
        <w:tc>
          <w:tcPr>
            <w:cnfStyle w:val="001000000000" w:firstRow="0" w:lastRow="0" w:firstColumn="1" w:lastColumn="0" w:oddVBand="0" w:evenVBand="0" w:oddHBand="0" w:evenHBand="0" w:firstRowFirstColumn="0" w:firstRowLastColumn="0" w:lastRowFirstColumn="0" w:lastRowLastColumn="0"/>
            <w:tcW w:w="3002" w:type="dxa"/>
            <w:vAlign w:val="bottom"/>
          </w:tcPr>
          <w:p w14:paraId="07BEDD87"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Arganzuela</w:t>
            </w:r>
          </w:p>
        </w:tc>
        <w:tc>
          <w:tcPr>
            <w:tcW w:w="2064" w:type="dxa"/>
            <w:vAlign w:val="bottom"/>
          </w:tcPr>
          <w:p w14:paraId="40452DB4"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4,3%</w:t>
            </w:r>
          </w:p>
        </w:tc>
        <w:tc>
          <w:tcPr>
            <w:tcW w:w="2187" w:type="dxa"/>
            <w:vAlign w:val="bottom"/>
          </w:tcPr>
          <w:p w14:paraId="38F72BEE"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4,6%</w:t>
            </w:r>
          </w:p>
        </w:tc>
        <w:tc>
          <w:tcPr>
            <w:tcW w:w="1931" w:type="dxa"/>
            <w:vAlign w:val="bottom"/>
          </w:tcPr>
          <w:p w14:paraId="7D5D259F"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4,4%</w:t>
            </w:r>
          </w:p>
        </w:tc>
      </w:tr>
      <w:tr w:rsidR="00EE22B1" w14:paraId="3B0B7733" w14:textId="77777777" w:rsidTr="00EE22B1">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3002" w:type="dxa"/>
            <w:vAlign w:val="bottom"/>
          </w:tcPr>
          <w:p w14:paraId="38FEF004"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Tetuán</w:t>
            </w:r>
          </w:p>
        </w:tc>
        <w:tc>
          <w:tcPr>
            <w:tcW w:w="2064" w:type="dxa"/>
            <w:vAlign w:val="bottom"/>
          </w:tcPr>
          <w:p w14:paraId="274AAA56"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4,5%</w:t>
            </w:r>
          </w:p>
        </w:tc>
        <w:tc>
          <w:tcPr>
            <w:tcW w:w="2187" w:type="dxa"/>
            <w:vAlign w:val="bottom"/>
          </w:tcPr>
          <w:p w14:paraId="767579C2"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4,8%</w:t>
            </w:r>
          </w:p>
        </w:tc>
        <w:tc>
          <w:tcPr>
            <w:tcW w:w="1931" w:type="dxa"/>
            <w:vAlign w:val="bottom"/>
          </w:tcPr>
          <w:p w14:paraId="13CD037C"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4,2%</w:t>
            </w:r>
          </w:p>
        </w:tc>
      </w:tr>
      <w:tr w:rsidR="00EE22B1" w14:paraId="32586292" w14:textId="77777777" w:rsidTr="00EE22B1">
        <w:trPr>
          <w:trHeight w:val="266"/>
        </w:trPr>
        <w:tc>
          <w:tcPr>
            <w:cnfStyle w:val="001000000000" w:firstRow="0" w:lastRow="0" w:firstColumn="1" w:lastColumn="0" w:oddVBand="0" w:evenVBand="0" w:oddHBand="0" w:evenHBand="0" w:firstRowFirstColumn="0" w:firstRowLastColumn="0" w:lastRowFirstColumn="0" w:lastRowLastColumn="0"/>
            <w:tcW w:w="3002" w:type="dxa"/>
            <w:vAlign w:val="bottom"/>
          </w:tcPr>
          <w:p w14:paraId="41E8C07C"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Fuencarral - El Pardo</w:t>
            </w:r>
          </w:p>
        </w:tc>
        <w:tc>
          <w:tcPr>
            <w:tcW w:w="2064" w:type="dxa"/>
            <w:vAlign w:val="bottom"/>
          </w:tcPr>
          <w:p w14:paraId="192D3089"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3,9%</w:t>
            </w:r>
          </w:p>
        </w:tc>
        <w:tc>
          <w:tcPr>
            <w:tcW w:w="2187" w:type="dxa"/>
            <w:vAlign w:val="bottom"/>
          </w:tcPr>
          <w:p w14:paraId="75ABC94A"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4,3%</w:t>
            </w:r>
          </w:p>
        </w:tc>
        <w:tc>
          <w:tcPr>
            <w:tcW w:w="1931" w:type="dxa"/>
            <w:vAlign w:val="bottom"/>
          </w:tcPr>
          <w:p w14:paraId="5A560DB3"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4,2%</w:t>
            </w:r>
          </w:p>
        </w:tc>
      </w:tr>
      <w:tr w:rsidR="00EE22B1" w14:paraId="0D51E2A7" w14:textId="77777777" w:rsidTr="00EE22B1">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3002" w:type="dxa"/>
            <w:vAlign w:val="bottom"/>
          </w:tcPr>
          <w:p w14:paraId="03CA4D04"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Centro</w:t>
            </w:r>
          </w:p>
        </w:tc>
        <w:tc>
          <w:tcPr>
            <w:tcW w:w="2064" w:type="dxa"/>
            <w:vAlign w:val="bottom"/>
          </w:tcPr>
          <w:p w14:paraId="02F93AFE"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3,9%</w:t>
            </w:r>
          </w:p>
        </w:tc>
        <w:tc>
          <w:tcPr>
            <w:tcW w:w="2187" w:type="dxa"/>
            <w:vAlign w:val="bottom"/>
          </w:tcPr>
          <w:p w14:paraId="2E58E004"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3,8%</w:t>
            </w:r>
          </w:p>
        </w:tc>
        <w:tc>
          <w:tcPr>
            <w:tcW w:w="1931" w:type="dxa"/>
            <w:vAlign w:val="bottom"/>
          </w:tcPr>
          <w:p w14:paraId="2296C6B5"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3,6%</w:t>
            </w:r>
          </w:p>
        </w:tc>
      </w:tr>
      <w:tr w:rsidR="00EE22B1" w14:paraId="2F35BCE6" w14:textId="77777777" w:rsidTr="00EE22B1">
        <w:trPr>
          <w:trHeight w:val="252"/>
        </w:trPr>
        <w:tc>
          <w:tcPr>
            <w:cnfStyle w:val="001000000000" w:firstRow="0" w:lastRow="0" w:firstColumn="1" w:lastColumn="0" w:oddVBand="0" w:evenVBand="0" w:oddHBand="0" w:evenHBand="0" w:firstRowFirstColumn="0" w:firstRowLastColumn="0" w:lastRowFirstColumn="0" w:lastRowLastColumn="0"/>
            <w:tcW w:w="3002" w:type="dxa"/>
            <w:vAlign w:val="bottom"/>
          </w:tcPr>
          <w:p w14:paraId="1970CC6E"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Moncloa - Aravaca</w:t>
            </w:r>
          </w:p>
        </w:tc>
        <w:tc>
          <w:tcPr>
            <w:tcW w:w="2064" w:type="dxa"/>
            <w:vAlign w:val="bottom"/>
          </w:tcPr>
          <w:p w14:paraId="175F4E70"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3,9%</w:t>
            </w:r>
          </w:p>
        </w:tc>
        <w:tc>
          <w:tcPr>
            <w:tcW w:w="2187" w:type="dxa"/>
            <w:vAlign w:val="bottom"/>
          </w:tcPr>
          <w:p w14:paraId="3E50D430"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3,9%</w:t>
            </w:r>
          </w:p>
        </w:tc>
        <w:tc>
          <w:tcPr>
            <w:tcW w:w="1931" w:type="dxa"/>
            <w:vAlign w:val="bottom"/>
          </w:tcPr>
          <w:p w14:paraId="3DE90370"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3,6%</w:t>
            </w:r>
          </w:p>
        </w:tc>
      </w:tr>
      <w:tr w:rsidR="00EE22B1" w14:paraId="2113B4C8" w14:textId="77777777" w:rsidTr="00EE22B1">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002" w:type="dxa"/>
            <w:vAlign w:val="bottom"/>
          </w:tcPr>
          <w:p w14:paraId="3B9C9BE5"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Chamartín</w:t>
            </w:r>
          </w:p>
        </w:tc>
        <w:tc>
          <w:tcPr>
            <w:tcW w:w="2064" w:type="dxa"/>
            <w:vAlign w:val="bottom"/>
          </w:tcPr>
          <w:p w14:paraId="02157FF4"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3,5%</w:t>
            </w:r>
          </w:p>
        </w:tc>
        <w:tc>
          <w:tcPr>
            <w:tcW w:w="2187" w:type="dxa"/>
            <w:vAlign w:val="bottom"/>
          </w:tcPr>
          <w:p w14:paraId="0DDA6C5D"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3,6%</w:t>
            </w:r>
          </w:p>
        </w:tc>
        <w:tc>
          <w:tcPr>
            <w:tcW w:w="1931" w:type="dxa"/>
            <w:vAlign w:val="bottom"/>
          </w:tcPr>
          <w:p w14:paraId="0F7BF286"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3,4%</w:t>
            </w:r>
          </w:p>
        </w:tc>
      </w:tr>
      <w:tr w:rsidR="00EE22B1" w14:paraId="189869C4" w14:textId="77777777" w:rsidTr="00EE22B1">
        <w:trPr>
          <w:trHeight w:val="252"/>
        </w:trPr>
        <w:tc>
          <w:tcPr>
            <w:cnfStyle w:val="001000000000" w:firstRow="0" w:lastRow="0" w:firstColumn="1" w:lastColumn="0" w:oddVBand="0" w:evenVBand="0" w:oddHBand="0" w:evenHBand="0" w:firstRowFirstColumn="0" w:firstRowLastColumn="0" w:lastRowFirstColumn="0" w:lastRowLastColumn="0"/>
            <w:tcW w:w="3002" w:type="dxa"/>
            <w:vAlign w:val="bottom"/>
          </w:tcPr>
          <w:p w14:paraId="0C0B15AE"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Chamberí</w:t>
            </w:r>
          </w:p>
        </w:tc>
        <w:tc>
          <w:tcPr>
            <w:tcW w:w="2064" w:type="dxa"/>
            <w:vAlign w:val="bottom"/>
          </w:tcPr>
          <w:p w14:paraId="204B7075"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3,8%</w:t>
            </w:r>
          </w:p>
        </w:tc>
        <w:tc>
          <w:tcPr>
            <w:tcW w:w="2187" w:type="dxa"/>
            <w:vAlign w:val="bottom"/>
          </w:tcPr>
          <w:p w14:paraId="0925ED7B"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3,2%</w:t>
            </w:r>
          </w:p>
        </w:tc>
        <w:tc>
          <w:tcPr>
            <w:tcW w:w="1931" w:type="dxa"/>
            <w:vAlign w:val="bottom"/>
          </w:tcPr>
          <w:p w14:paraId="0F144B46"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3,1%</w:t>
            </w:r>
          </w:p>
        </w:tc>
      </w:tr>
      <w:tr w:rsidR="00EE22B1" w14:paraId="5B988088" w14:textId="77777777" w:rsidTr="00EE22B1">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002" w:type="dxa"/>
            <w:vAlign w:val="bottom"/>
          </w:tcPr>
          <w:p w14:paraId="2A1E338F"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Retiro</w:t>
            </w:r>
          </w:p>
        </w:tc>
        <w:tc>
          <w:tcPr>
            <w:tcW w:w="2064" w:type="dxa"/>
            <w:vAlign w:val="bottom"/>
          </w:tcPr>
          <w:p w14:paraId="63ACC6FE"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3,6%</w:t>
            </w:r>
          </w:p>
        </w:tc>
        <w:tc>
          <w:tcPr>
            <w:tcW w:w="2187" w:type="dxa"/>
            <w:vAlign w:val="bottom"/>
          </w:tcPr>
          <w:p w14:paraId="765AFA80"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3,1%</w:t>
            </w:r>
          </w:p>
        </w:tc>
        <w:tc>
          <w:tcPr>
            <w:tcW w:w="1931" w:type="dxa"/>
            <w:vAlign w:val="bottom"/>
          </w:tcPr>
          <w:p w14:paraId="1B4906D9"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3,0%</w:t>
            </w:r>
          </w:p>
        </w:tc>
      </w:tr>
      <w:tr w:rsidR="00EE22B1" w14:paraId="29162966" w14:textId="77777777" w:rsidTr="00EE22B1">
        <w:trPr>
          <w:trHeight w:val="252"/>
        </w:trPr>
        <w:tc>
          <w:tcPr>
            <w:cnfStyle w:val="001000000000" w:firstRow="0" w:lastRow="0" w:firstColumn="1" w:lastColumn="0" w:oddVBand="0" w:evenVBand="0" w:oddHBand="0" w:evenHBand="0" w:firstRowFirstColumn="0" w:firstRowLastColumn="0" w:lastRowFirstColumn="0" w:lastRowLastColumn="0"/>
            <w:tcW w:w="3002" w:type="dxa"/>
            <w:vAlign w:val="bottom"/>
          </w:tcPr>
          <w:p w14:paraId="0487C91C"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Barrio de Salamanca</w:t>
            </w:r>
          </w:p>
        </w:tc>
        <w:tc>
          <w:tcPr>
            <w:tcW w:w="2064" w:type="dxa"/>
            <w:vAlign w:val="bottom"/>
          </w:tcPr>
          <w:p w14:paraId="683AF9A2" w14:textId="77777777" w:rsidR="00EE22B1" w:rsidRDefault="00EE22B1">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2187" w:type="dxa"/>
            <w:vAlign w:val="bottom"/>
          </w:tcPr>
          <w:p w14:paraId="39879A1D"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2,7%</w:t>
            </w:r>
          </w:p>
        </w:tc>
        <w:tc>
          <w:tcPr>
            <w:tcW w:w="1931" w:type="dxa"/>
            <w:vAlign w:val="bottom"/>
          </w:tcPr>
          <w:p w14:paraId="22301158"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2,7%</w:t>
            </w:r>
          </w:p>
        </w:tc>
      </w:tr>
    </w:tbl>
    <w:p w14:paraId="523EEC05" w14:textId="77777777" w:rsidR="00EE22B1" w:rsidRDefault="00EE22B1">
      <w:pPr>
        <w:pBdr>
          <w:top w:val="nil"/>
          <w:left w:val="nil"/>
          <w:bottom w:val="nil"/>
          <w:right w:val="nil"/>
          <w:between w:val="nil"/>
        </w:pBdr>
        <w:shd w:val="clear" w:color="auto" w:fill="FFFFFF"/>
        <w:spacing w:before="280" w:after="280" w:line="276" w:lineRule="auto"/>
        <w:ind w:right="-574"/>
        <w:rPr>
          <w:rFonts w:ascii="Open Sans Light" w:eastAsia="Open Sans Light" w:hAnsi="Open Sans Light" w:cs="Open Sans Light"/>
          <w:b/>
          <w:bCs/>
          <w:color w:val="303AB2"/>
        </w:rPr>
      </w:pPr>
    </w:p>
    <w:p w14:paraId="52F15DF9" w14:textId="77777777" w:rsidR="00EE22B1" w:rsidRDefault="00000000">
      <w:pPr>
        <w:pBdr>
          <w:top w:val="nil"/>
          <w:left w:val="nil"/>
          <w:bottom w:val="nil"/>
          <w:right w:val="nil"/>
          <w:between w:val="nil"/>
        </w:pBdr>
        <w:shd w:val="clear" w:color="auto" w:fill="FFFFFF"/>
        <w:spacing w:before="280" w:after="280" w:line="276" w:lineRule="auto"/>
        <w:ind w:left="-142" w:right="-574"/>
        <w:jc w:val="both"/>
        <w:rPr>
          <w:rFonts w:ascii="Open Sans Light" w:eastAsia="Open Sans Light" w:hAnsi="Open Sans Light" w:cs="Open Sans Light"/>
          <w:b/>
          <w:bCs/>
          <w:color w:val="303AB2"/>
          <w:sz w:val="28"/>
          <w:szCs w:val="28"/>
        </w:rPr>
      </w:pPr>
      <w:r>
        <w:rPr>
          <w:rFonts w:ascii="Open Sans Light" w:eastAsia="Open Sans Light" w:hAnsi="Open Sans Light" w:cs="Open Sans Light"/>
          <w:b/>
          <w:bCs/>
          <w:color w:val="303AB2"/>
        </w:rPr>
        <w:t>Tabla 5. Rentabilidad de la vivienda por distritos de Barcelona en 2021, 2025 y 2026</w:t>
      </w:r>
    </w:p>
    <w:tbl>
      <w:tblPr>
        <w:tblStyle w:val="a3"/>
        <w:tblpPr w:leftFromText="141" w:rightFromText="141" w:vertAnchor="text" w:tblpY="40"/>
        <w:tblW w:w="9195"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006"/>
        <w:gridCol w:w="2066"/>
        <w:gridCol w:w="2190"/>
        <w:gridCol w:w="1933"/>
      </w:tblGrid>
      <w:tr w:rsidR="00EE22B1" w14:paraId="68F17C6C" w14:textId="77777777" w:rsidTr="00EE22B1">
        <w:trPr>
          <w:cnfStyle w:val="100000000000" w:firstRow="1" w:lastRow="0" w:firstColumn="0" w:lastColumn="0" w:oddVBand="0" w:evenVBand="0" w:oddHBand="0"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3006" w:type="dxa"/>
            <w:vAlign w:val="center"/>
          </w:tcPr>
          <w:p w14:paraId="10AEF15A" w14:textId="77777777" w:rsidR="00EE22B1" w:rsidRDefault="00000000">
            <w:pPr>
              <w:jc w:val="center"/>
              <w:rPr>
                <w:rFonts w:ascii="Open Sans" w:eastAsia="Open Sans" w:hAnsi="Open Sans" w:cs="Open Sans"/>
                <w:sz w:val="22"/>
                <w:szCs w:val="22"/>
              </w:rPr>
            </w:pPr>
            <w:r>
              <w:rPr>
                <w:rFonts w:ascii="Open Sans" w:eastAsia="Open Sans" w:hAnsi="Open Sans" w:cs="Open Sans"/>
                <w:b w:val="0"/>
                <w:bCs w:val="0"/>
                <w:sz w:val="22"/>
                <w:szCs w:val="22"/>
              </w:rPr>
              <w:t>Distritos de Barcelona</w:t>
            </w:r>
          </w:p>
        </w:tc>
        <w:tc>
          <w:tcPr>
            <w:tcW w:w="2066" w:type="dxa"/>
            <w:vAlign w:val="center"/>
          </w:tcPr>
          <w:p w14:paraId="226DBFA5" w14:textId="77777777" w:rsidR="00EE22B1" w:rsidRDefault="00000000">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b w:val="0"/>
                <w:bCs w:val="0"/>
                <w:color w:val="000000"/>
                <w:sz w:val="22"/>
                <w:szCs w:val="22"/>
              </w:rPr>
              <w:t>Rentabilidad</w:t>
            </w:r>
          </w:p>
          <w:p w14:paraId="675DEE63" w14:textId="77777777" w:rsidR="00EE22B1" w:rsidRDefault="00000000">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b w:val="0"/>
                <w:bCs w:val="0"/>
                <w:color w:val="000000"/>
                <w:sz w:val="22"/>
                <w:szCs w:val="22"/>
              </w:rPr>
              <w:t>2T-2021</w:t>
            </w:r>
          </w:p>
          <w:p w14:paraId="198F36D1" w14:textId="77777777" w:rsidR="00EE22B1" w:rsidRDefault="00000000">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color w:val="000000"/>
                <w:sz w:val="20"/>
                <w:szCs w:val="20"/>
              </w:rPr>
            </w:pPr>
            <w:r>
              <w:rPr>
                <w:rFonts w:ascii="Open Sans" w:eastAsia="Open Sans" w:hAnsi="Open Sans" w:cs="Open Sans"/>
                <w:b w:val="0"/>
                <w:bCs w:val="0"/>
                <w:color w:val="000000"/>
                <w:sz w:val="22"/>
                <w:szCs w:val="22"/>
              </w:rPr>
              <w:t>(5 años)</w:t>
            </w:r>
          </w:p>
        </w:tc>
        <w:tc>
          <w:tcPr>
            <w:tcW w:w="2190" w:type="dxa"/>
            <w:vAlign w:val="center"/>
          </w:tcPr>
          <w:p w14:paraId="2636A427" w14:textId="77777777" w:rsidR="00EE22B1" w:rsidRDefault="00000000">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b w:val="0"/>
                <w:bCs w:val="0"/>
                <w:color w:val="000000"/>
                <w:sz w:val="22"/>
                <w:szCs w:val="22"/>
              </w:rPr>
              <w:t>Rentabilidad</w:t>
            </w:r>
          </w:p>
          <w:p w14:paraId="194436CD" w14:textId="77777777" w:rsidR="00EE22B1" w:rsidRDefault="00000000">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b w:val="0"/>
                <w:bCs w:val="0"/>
                <w:color w:val="000000"/>
                <w:sz w:val="22"/>
                <w:szCs w:val="22"/>
              </w:rPr>
              <w:t>2T-2025</w:t>
            </w:r>
          </w:p>
          <w:p w14:paraId="68F706A6" w14:textId="77777777" w:rsidR="00EE22B1" w:rsidRDefault="00000000">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b w:val="0"/>
                <w:bCs w:val="0"/>
                <w:color w:val="000000"/>
                <w:sz w:val="22"/>
                <w:szCs w:val="22"/>
              </w:rPr>
              <w:t>(1 año)</w:t>
            </w:r>
          </w:p>
        </w:tc>
        <w:tc>
          <w:tcPr>
            <w:tcW w:w="1933" w:type="dxa"/>
            <w:vAlign w:val="center"/>
          </w:tcPr>
          <w:p w14:paraId="67C706A3" w14:textId="77777777" w:rsidR="00EE22B1" w:rsidRDefault="00000000">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b w:val="0"/>
                <w:bCs w:val="0"/>
                <w:color w:val="000000"/>
                <w:sz w:val="22"/>
                <w:szCs w:val="22"/>
              </w:rPr>
              <w:t>Rentabilidad</w:t>
            </w:r>
          </w:p>
          <w:p w14:paraId="5956907A" w14:textId="77777777" w:rsidR="00EE22B1" w:rsidRDefault="00000000">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i/>
                <w:iCs/>
                <w:color w:val="000000"/>
                <w:sz w:val="22"/>
                <w:szCs w:val="22"/>
              </w:rPr>
            </w:pPr>
            <w:r>
              <w:rPr>
                <w:rFonts w:ascii="Open Sans" w:eastAsia="Open Sans" w:hAnsi="Open Sans" w:cs="Open Sans"/>
                <w:b w:val="0"/>
                <w:bCs w:val="0"/>
                <w:color w:val="000000"/>
                <w:sz w:val="22"/>
                <w:szCs w:val="22"/>
              </w:rPr>
              <w:t>2T-2026</w:t>
            </w:r>
          </w:p>
        </w:tc>
      </w:tr>
      <w:tr w:rsidR="00EE22B1" w14:paraId="14536F05" w14:textId="77777777" w:rsidTr="00EE22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06" w:type="dxa"/>
            <w:vAlign w:val="bottom"/>
          </w:tcPr>
          <w:p w14:paraId="133F2EDA"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Sant Andreu</w:t>
            </w:r>
          </w:p>
        </w:tc>
        <w:tc>
          <w:tcPr>
            <w:tcW w:w="2066" w:type="dxa"/>
            <w:vAlign w:val="bottom"/>
          </w:tcPr>
          <w:p w14:paraId="79F51F15"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4,8%</w:t>
            </w:r>
          </w:p>
        </w:tc>
        <w:tc>
          <w:tcPr>
            <w:tcW w:w="2190" w:type="dxa"/>
            <w:vAlign w:val="bottom"/>
          </w:tcPr>
          <w:p w14:paraId="4BB66A2E"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7,1%</w:t>
            </w:r>
          </w:p>
        </w:tc>
        <w:tc>
          <w:tcPr>
            <w:tcW w:w="1933" w:type="dxa"/>
            <w:vAlign w:val="bottom"/>
          </w:tcPr>
          <w:p w14:paraId="301442CD"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7,1%</w:t>
            </w:r>
          </w:p>
        </w:tc>
      </w:tr>
      <w:tr w:rsidR="00EE22B1" w14:paraId="23EF6AA7" w14:textId="77777777" w:rsidTr="00EE22B1">
        <w:trPr>
          <w:trHeight w:val="300"/>
        </w:trPr>
        <w:tc>
          <w:tcPr>
            <w:cnfStyle w:val="001000000000" w:firstRow="0" w:lastRow="0" w:firstColumn="1" w:lastColumn="0" w:oddVBand="0" w:evenVBand="0" w:oddHBand="0" w:evenHBand="0" w:firstRowFirstColumn="0" w:firstRowLastColumn="0" w:lastRowFirstColumn="0" w:lastRowLastColumn="0"/>
            <w:tcW w:w="3006" w:type="dxa"/>
            <w:vAlign w:val="bottom"/>
          </w:tcPr>
          <w:p w14:paraId="5FD6BD4D"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Ciutat Vella</w:t>
            </w:r>
          </w:p>
        </w:tc>
        <w:tc>
          <w:tcPr>
            <w:tcW w:w="2066" w:type="dxa"/>
            <w:vAlign w:val="bottom"/>
          </w:tcPr>
          <w:p w14:paraId="4C290C70"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4,2%</w:t>
            </w:r>
          </w:p>
        </w:tc>
        <w:tc>
          <w:tcPr>
            <w:tcW w:w="2190" w:type="dxa"/>
            <w:vAlign w:val="bottom"/>
          </w:tcPr>
          <w:p w14:paraId="5DCEF9E1"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5,6%</w:t>
            </w:r>
          </w:p>
        </w:tc>
        <w:tc>
          <w:tcPr>
            <w:tcW w:w="1933" w:type="dxa"/>
            <w:vAlign w:val="bottom"/>
          </w:tcPr>
          <w:p w14:paraId="68551ABB"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5,3%</w:t>
            </w:r>
          </w:p>
        </w:tc>
      </w:tr>
      <w:tr w:rsidR="00EE22B1" w14:paraId="212AD653" w14:textId="77777777" w:rsidTr="00EE22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06" w:type="dxa"/>
            <w:vAlign w:val="bottom"/>
          </w:tcPr>
          <w:p w14:paraId="32DB3FAB"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Sants - Montjuïc</w:t>
            </w:r>
          </w:p>
        </w:tc>
        <w:tc>
          <w:tcPr>
            <w:tcW w:w="2066" w:type="dxa"/>
            <w:vAlign w:val="bottom"/>
          </w:tcPr>
          <w:p w14:paraId="2026430A"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5,0%</w:t>
            </w:r>
          </w:p>
        </w:tc>
        <w:tc>
          <w:tcPr>
            <w:tcW w:w="2190" w:type="dxa"/>
            <w:vAlign w:val="bottom"/>
          </w:tcPr>
          <w:p w14:paraId="76E687C8"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6,0%</w:t>
            </w:r>
          </w:p>
        </w:tc>
        <w:tc>
          <w:tcPr>
            <w:tcW w:w="1933" w:type="dxa"/>
            <w:vAlign w:val="bottom"/>
          </w:tcPr>
          <w:p w14:paraId="04F409DB"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5,3%</w:t>
            </w:r>
          </w:p>
        </w:tc>
      </w:tr>
      <w:tr w:rsidR="00EE22B1" w14:paraId="7AF87811" w14:textId="77777777" w:rsidTr="00EE22B1">
        <w:trPr>
          <w:trHeight w:val="300"/>
        </w:trPr>
        <w:tc>
          <w:tcPr>
            <w:cnfStyle w:val="001000000000" w:firstRow="0" w:lastRow="0" w:firstColumn="1" w:lastColumn="0" w:oddVBand="0" w:evenVBand="0" w:oddHBand="0" w:evenHBand="0" w:firstRowFirstColumn="0" w:firstRowLastColumn="0" w:lastRowFirstColumn="0" w:lastRowLastColumn="0"/>
            <w:tcW w:w="3006" w:type="dxa"/>
            <w:vAlign w:val="bottom"/>
          </w:tcPr>
          <w:p w14:paraId="036CF7BC"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Sant Martí</w:t>
            </w:r>
          </w:p>
        </w:tc>
        <w:tc>
          <w:tcPr>
            <w:tcW w:w="2066" w:type="dxa"/>
            <w:vAlign w:val="bottom"/>
          </w:tcPr>
          <w:p w14:paraId="0668A903"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4,5%</w:t>
            </w:r>
          </w:p>
        </w:tc>
        <w:tc>
          <w:tcPr>
            <w:tcW w:w="2190" w:type="dxa"/>
            <w:vAlign w:val="bottom"/>
          </w:tcPr>
          <w:p w14:paraId="78289707"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5,9%</w:t>
            </w:r>
          </w:p>
        </w:tc>
        <w:tc>
          <w:tcPr>
            <w:tcW w:w="1933" w:type="dxa"/>
            <w:vAlign w:val="bottom"/>
          </w:tcPr>
          <w:p w14:paraId="4836D790"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5,0%</w:t>
            </w:r>
          </w:p>
        </w:tc>
      </w:tr>
      <w:tr w:rsidR="00EE22B1" w14:paraId="65329BD8" w14:textId="77777777" w:rsidTr="00EE22B1">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3006" w:type="dxa"/>
            <w:vAlign w:val="bottom"/>
          </w:tcPr>
          <w:p w14:paraId="29230C54"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Horta - Guinardó</w:t>
            </w:r>
          </w:p>
        </w:tc>
        <w:tc>
          <w:tcPr>
            <w:tcW w:w="2066" w:type="dxa"/>
            <w:vAlign w:val="bottom"/>
          </w:tcPr>
          <w:p w14:paraId="409CB893"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4,9%</w:t>
            </w:r>
          </w:p>
        </w:tc>
        <w:tc>
          <w:tcPr>
            <w:tcW w:w="2190" w:type="dxa"/>
            <w:vAlign w:val="bottom"/>
          </w:tcPr>
          <w:p w14:paraId="5761B2DF"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6,4%</w:t>
            </w:r>
          </w:p>
        </w:tc>
        <w:tc>
          <w:tcPr>
            <w:tcW w:w="1933" w:type="dxa"/>
            <w:vAlign w:val="bottom"/>
          </w:tcPr>
          <w:p w14:paraId="5A17FC30"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4,9%</w:t>
            </w:r>
          </w:p>
        </w:tc>
      </w:tr>
      <w:tr w:rsidR="00EE22B1" w14:paraId="4DEA1707" w14:textId="77777777" w:rsidTr="00EE22B1">
        <w:trPr>
          <w:trHeight w:val="316"/>
        </w:trPr>
        <w:tc>
          <w:tcPr>
            <w:cnfStyle w:val="001000000000" w:firstRow="0" w:lastRow="0" w:firstColumn="1" w:lastColumn="0" w:oddVBand="0" w:evenVBand="0" w:oddHBand="0" w:evenHBand="0" w:firstRowFirstColumn="0" w:firstRowLastColumn="0" w:lastRowFirstColumn="0" w:lastRowLastColumn="0"/>
            <w:tcW w:w="3006" w:type="dxa"/>
            <w:vAlign w:val="bottom"/>
          </w:tcPr>
          <w:p w14:paraId="6191A893"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Les Corts</w:t>
            </w:r>
          </w:p>
        </w:tc>
        <w:tc>
          <w:tcPr>
            <w:tcW w:w="2066" w:type="dxa"/>
            <w:vAlign w:val="bottom"/>
          </w:tcPr>
          <w:p w14:paraId="2BFCF9F4"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3,4%</w:t>
            </w:r>
          </w:p>
        </w:tc>
        <w:tc>
          <w:tcPr>
            <w:tcW w:w="2190" w:type="dxa"/>
            <w:vAlign w:val="bottom"/>
          </w:tcPr>
          <w:p w14:paraId="230DC45C"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4,5%</w:t>
            </w:r>
          </w:p>
        </w:tc>
        <w:tc>
          <w:tcPr>
            <w:tcW w:w="1933" w:type="dxa"/>
            <w:vAlign w:val="bottom"/>
          </w:tcPr>
          <w:p w14:paraId="6232B22B"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4,3%</w:t>
            </w:r>
          </w:p>
        </w:tc>
      </w:tr>
      <w:tr w:rsidR="00EE22B1" w14:paraId="4E5FF155" w14:textId="77777777" w:rsidTr="00EE22B1">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3006" w:type="dxa"/>
            <w:vAlign w:val="bottom"/>
          </w:tcPr>
          <w:p w14:paraId="2882479A"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Eixample</w:t>
            </w:r>
          </w:p>
        </w:tc>
        <w:tc>
          <w:tcPr>
            <w:tcW w:w="2066" w:type="dxa"/>
            <w:vAlign w:val="bottom"/>
          </w:tcPr>
          <w:p w14:paraId="2901B38B"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3,5%</w:t>
            </w:r>
          </w:p>
        </w:tc>
        <w:tc>
          <w:tcPr>
            <w:tcW w:w="2190" w:type="dxa"/>
            <w:vAlign w:val="bottom"/>
          </w:tcPr>
          <w:p w14:paraId="415191BF"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4,2%</w:t>
            </w:r>
          </w:p>
        </w:tc>
        <w:tc>
          <w:tcPr>
            <w:tcW w:w="1933" w:type="dxa"/>
            <w:vAlign w:val="bottom"/>
          </w:tcPr>
          <w:p w14:paraId="71511357"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3,9%</w:t>
            </w:r>
          </w:p>
        </w:tc>
      </w:tr>
      <w:tr w:rsidR="00EE22B1" w14:paraId="24C84BAC" w14:textId="77777777" w:rsidTr="00EE22B1">
        <w:trPr>
          <w:trHeight w:val="316"/>
        </w:trPr>
        <w:tc>
          <w:tcPr>
            <w:cnfStyle w:val="001000000000" w:firstRow="0" w:lastRow="0" w:firstColumn="1" w:lastColumn="0" w:oddVBand="0" w:evenVBand="0" w:oddHBand="0" w:evenHBand="0" w:firstRowFirstColumn="0" w:firstRowLastColumn="0" w:lastRowFirstColumn="0" w:lastRowLastColumn="0"/>
            <w:tcW w:w="3006" w:type="dxa"/>
            <w:vAlign w:val="bottom"/>
          </w:tcPr>
          <w:p w14:paraId="51BA261D"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Gràcia</w:t>
            </w:r>
          </w:p>
        </w:tc>
        <w:tc>
          <w:tcPr>
            <w:tcW w:w="2066" w:type="dxa"/>
            <w:vAlign w:val="bottom"/>
          </w:tcPr>
          <w:p w14:paraId="6D551760"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4,0%</w:t>
            </w:r>
          </w:p>
        </w:tc>
        <w:tc>
          <w:tcPr>
            <w:tcW w:w="2190" w:type="dxa"/>
            <w:vAlign w:val="bottom"/>
          </w:tcPr>
          <w:p w14:paraId="746EACD7"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5,4%</w:t>
            </w:r>
          </w:p>
        </w:tc>
        <w:tc>
          <w:tcPr>
            <w:tcW w:w="1933" w:type="dxa"/>
            <w:vAlign w:val="bottom"/>
          </w:tcPr>
          <w:p w14:paraId="54E9B4C2" w14:textId="77777777" w:rsidR="00EE22B1"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3,9%</w:t>
            </w:r>
          </w:p>
        </w:tc>
      </w:tr>
      <w:tr w:rsidR="00EE22B1" w14:paraId="251397CC" w14:textId="77777777" w:rsidTr="00EE22B1">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3006" w:type="dxa"/>
            <w:vAlign w:val="bottom"/>
          </w:tcPr>
          <w:p w14:paraId="330BCD1E" w14:textId="77777777" w:rsidR="00EE22B1" w:rsidRDefault="00000000">
            <w:pPr>
              <w:rPr>
                <w:rFonts w:ascii="Open Sans" w:eastAsia="Open Sans" w:hAnsi="Open Sans" w:cs="Open Sans"/>
                <w:sz w:val="22"/>
                <w:szCs w:val="22"/>
              </w:rPr>
            </w:pPr>
            <w:r>
              <w:rPr>
                <w:rFonts w:ascii="Open Sans" w:eastAsia="Open Sans" w:hAnsi="Open Sans" w:cs="Open Sans"/>
                <w:b w:val="0"/>
                <w:bCs w:val="0"/>
                <w:sz w:val="22"/>
                <w:szCs w:val="22"/>
              </w:rPr>
              <w:t>Sarrià - Sant Gervasi</w:t>
            </w:r>
          </w:p>
        </w:tc>
        <w:tc>
          <w:tcPr>
            <w:tcW w:w="2066" w:type="dxa"/>
            <w:vAlign w:val="bottom"/>
          </w:tcPr>
          <w:p w14:paraId="66C8C440"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3,4%</w:t>
            </w:r>
          </w:p>
        </w:tc>
        <w:tc>
          <w:tcPr>
            <w:tcW w:w="2190" w:type="dxa"/>
            <w:vAlign w:val="bottom"/>
          </w:tcPr>
          <w:p w14:paraId="3F1DA89C"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4,0%</w:t>
            </w:r>
          </w:p>
        </w:tc>
        <w:tc>
          <w:tcPr>
            <w:tcW w:w="1933" w:type="dxa"/>
            <w:vAlign w:val="bottom"/>
          </w:tcPr>
          <w:p w14:paraId="6FDA4EF2" w14:textId="77777777" w:rsidR="00EE22B1"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3,6%</w:t>
            </w:r>
          </w:p>
        </w:tc>
      </w:tr>
    </w:tbl>
    <w:p w14:paraId="7BB32693" w14:textId="77777777" w:rsidR="00EE22B1" w:rsidRDefault="00EE22B1">
      <w:pPr>
        <w:spacing w:line="276" w:lineRule="auto"/>
        <w:ind w:right="-574"/>
        <w:jc w:val="right"/>
        <w:rPr>
          <w:rFonts w:ascii="Open Sans Light" w:eastAsia="Open Sans Light" w:hAnsi="Open Sans Light" w:cs="Open Sans Light"/>
          <w:b/>
          <w:bCs/>
          <w:color w:val="303AB2"/>
        </w:rPr>
      </w:pPr>
    </w:p>
    <w:p w14:paraId="22DBE1D2" w14:textId="77777777" w:rsidR="00EE22B1" w:rsidRDefault="00EE22B1">
      <w:pPr>
        <w:spacing w:line="276" w:lineRule="auto"/>
        <w:ind w:right="-574"/>
        <w:jc w:val="right"/>
        <w:rPr>
          <w:rFonts w:ascii="Open Sans Light" w:eastAsia="Open Sans Light" w:hAnsi="Open Sans Light" w:cs="Open Sans Light"/>
          <w:b/>
          <w:bCs/>
          <w:color w:val="303AB2"/>
        </w:rPr>
      </w:pPr>
    </w:p>
    <w:p w14:paraId="6872F80C" w14:textId="77777777" w:rsidR="00EE22B1" w:rsidRDefault="00000000">
      <w:pPr>
        <w:spacing w:line="276" w:lineRule="auto"/>
        <w:ind w:right="-574"/>
        <w:jc w:val="right"/>
        <w:rPr>
          <w:rFonts w:ascii="Open Sans Light" w:eastAsia="Open Sans Light" w:hAnsi="Open Sans Light" w:cs="Open Sans Light"/>
          <w:b/>
          <w:bCs/>
          <w:color w:val="303AB2"/>
        </w:rPr>
      </w:pPr>
      <w:r>
        <w:rPr>
          <w:rFonts w:ascii="Open Sans Light" w:eastAsia="Open Sans Light" w:hAnsi="Open Sans Light" w:cs="Open Sans Light"/>
          <w:b/>
          <w:bCs/>
          <w:color w:val="303AB2"/>
        </w:rPr>
        <w:t>Sobre Fotocasa</w:t>
      </w:r>
    </w:p>
    <w:p w14:paraId="1DA2DE7F" w14:textId="77777777" w:rsidR="00EE22B1" w:rsidRDefault="00000000">
      <w:pPr>
        <w:shd w:val="clear" w:color="auto" w:fill="FFFFFF"/>
        <w:spacing w:before="280" w:after="280" w:line="276" w:lineRule="auto"/>
        <w:ind w:right="-574"/>
        <w:jc w:val="both"/>
        <w:rPr>
          <w:rFonts w:ascii="Open Sans" w:eastAsia="Open Sans" w:hAnsi="Open Sans" w:cs="Open Sans"/>
          <w:sz w:val="22"/>
          <w:szCs w:val="22"/>
        </w:rPr>
      </w:pPr>
      <w:r>
        <w:rPr>
          <w:rFonts w:ascii="Open Sans" w:eastAsia="Open Sans" w:hAnsi="Open Sans" w:cs="Open Sans"/>
          <w:sz w:val="22"/>
          <w:szCs w:val="22"/>
        </w:rPr>
        <w:t xml:space="preserve">Fotocasa es uno de los principales portales inmobiliarios de España, con una amplia oferta de viviendas de segunda mano, promociones de obra nueva y alquileres que pertenece a </w:t>
      </w:r>
      <w:r>
        <w:rPr>
          <w:rFonts w:ascii="Open Sans" w:eastAsia="Open Sans" w:hAnsi="Open Sans" w:cs="Open Sans"/>
          <w:b/>
          <w:bCs/>
          <w:sz w:val="22"/>
          <w:szCs w:val="22"/>
        </w:rPr>
        <w:t>Fotocasa Group</w:t>
      </w:r>
      <w:r>
        <w:rPr>
          <w:rFonts w:ascii="Open Sans" w:eastAsia="Open Sans" w:hAnsi="Open Sans" w:cs="Open Sans"/>
          <w:sz w:val="22"/>
          <w:szCs w:val="22"/>
        </w:rPr>
        <w:t xml:space="preserve">. </w:t>
      </w:r>
    </w:p>
    <w:p w14:paraId="0C3E6477" w14:textId="77777777" w:rsidR="00EE22B1" w:rsidRDefault="00000000">
      <w:pPr>
        <w:shd w:val="clear" w:color="auto" w:fill="FFFFFF"/>
        <w:spacing w:before="280" w:after="280" w:line="276" w:lineRule="auto"/>
        <w:ind w:right="-574"/>
        <w:jc w:val="both"/>
        <w:rPr>
          <w:rFonts w:ascii="Open Sans" w:eastAsia="Open Sans" w:hAnsi="Open Sans" w:cs="Open Sans"/>
          <w:sz w:val="22"/>
          <w:szCs w:val="22"/>
        </w:rPr>
      </w:pPr>
      <w:r>
        <w:rPr>
          <w:rFonts w:ascii="Open Sans" w:eastAsia="Open Sans" w:hAnsi="Open Sans" w:cs="Open Sans"/>
          <w:sz w:val="22"/>
          <w:szCs w:val="22"/>
        </w:rPr>
        <w:t xml:space="preserve">Mensualmente, elabora el </w:t>
      </w:r>
      <w:hyperlink r:id="rId17">
        <w:r>
          <w:rPr>
            <w:rFonts w:ascii="Open Sans" w:eastAsia="Open Sans" w:hAnsi="Open Sans" w:cs="Open Sans"/>
            <w:b/>
            <w:bCs/>
            <w:color w:val="0000FF"/>
            <w:sz w:val="22"/>
            <w:szCs w:val="22"/>
            <w:u w:val="single"/>
          </w:rPr>
          <w:t>Índice inmobiliario Fotocasa</w:t>
        </w:r>
      </w:hyperlink>
      <w:r>
        <w:rPr>
          <w:rFonts w:ascii="Open Sans" w:eastAsia="Open Sans" w:hAnsi="Open Sans" w:cs="Open Sans"/>
          <w:sz w:val="22"/>
          <w:szCs w:val="22"/>
        </w:rPr>
        <w:t xml:space="preserve">, un informe de referencia que analiza la evolución del precio medio de la vivienda en España, tanto en venta como en alquiler. Desde 2017, desarrolla además estudios sociológicos bajo el sello </w:t>
      </w:r>
      <w:hyperlink r:id="rId18">
        <w:r>
          <w:rPr>
            <w:rFonts w:ascii="Open Sans" w:eastAsia="Open Sans" w:hAnsi="Open Sans" w:cs="Open Sans"/>
            <w:b/>
            <w:bCs/>
            <w:color w:val="0000FF"/>
            <w:sz w:val="22"/>
            <w:szCs w:val="22"/>
            <w:u w:val="single"/>
          </w:rPr>
          <w:t>Fotocasa Research</w:t>
        </w:r>
      </w:hyperlink>
      <w:r>
        <w:rPr>
          <w:rFonts w:ascii="Open Sans" w:eastAsia="Open Sans" w:hAnsi="Open Sans" w:cs="Open Sans"/>
          <w:sz w:val="22"/>
          <w:szCs w:val="22"/>
        </w:rPr>
        <w:t xml:space="preserve">, con el objetivo de aportar conocimiento y análisis en profundidad sobre las </w:t>
      </w:r>
      <w:r>
        <w:rPr>
          <w:rFonts w:ascii="Open Sans" w:eastAsia="Open Sans" w:hAnsi="Open Sans" w:cs="Open Sans"/>
          <w:sz w:val="22"/>
          <w:szCs w:val="22"/>
        </w:rPr>
        <w:lastRenderedPageBreak/>
        <w:t>tendencias del mercado y el comportamiento de los ciudadanos en relación con la vivienda.</w:t>
      </w:r>
    </w:p>
    <w:p w14:paraId="50A0D0CB" w14:textId="77777777" w:rsidR="00EE22B1" w:rsidRDefault="00000000">
      <w:pPr>
        <w:shd w:val="clear" w:color="auto" w:fill="FFFFFF"/>
        <w:spacing w:before="280" w:after="280" w:line="276" w:lineRule="auto"/>
        <w:ind w:right="-574"/>
        <w:jc w:val="both"/>
        <w:rPr>
          <w:rFonts w:ascii="Open Sans" w:eastAsia="Open Sans" w:hAnsi="Open Sans" w:cs="Open Sans"/>
          <w:sz w:val="22"/>
          <w:szCs w:val="22"/>
        </w:rPr>
      </w:pPr>
      <w:r>
        <w:rPr>
          <w:rFonts w:ascii="Open Sans" w:eastAsia="Open Sans" w:hAnsi="Open Sans" w:cs="Open Sans"/>
          <w:sz w:val="22"/>
          <w:szCs w:val="22"/>
        </w:rPr>
        <w:t xml:space="preserve">Toda la información y los últimos comunicados están disponibles en su </w:t>
      </w:r>
      <w:hyperlink r:id="rId19">
        <w:r>
          <w:rPr>
            <w:rFonts w:ascii="Open Sans" w:eastAsia="Open Sans" w:hAnsi="Open Sans" w:cs="Open Sans"/>
            <w:b/>
            <w:bCs/>
            <w:color w:val="0000FF"/>
            <w:sz w:val="22"/>
            <w:szCs w:val="22"/>
            <w:u w:val="single"/>
          </w:rPr>
          <w:t>Sala de Prensa</w:t>
        </w:r>
      </w:hyperlink>
    </w:p>
    <w:p w14:paraId="4476D1FD" w14:textId="77777777" w:rsidR="00EE22B1" w:rsidRDefault="00EE22B1">
      <w:pPr>
        <w:spacing w:line="276" w:lineRule="auto"/>
        <w:ind w:right="-574"/>
        <w:rPr>
          <w:rFonts w:ascii="Open Sans Light" w:eastAsia="Open Sans Light" w:hAnsi="Open Sans Light" w:cs="Open Sans Light"/>
          <w:b/>
          <w:bCs/>
          <w:color w:val="303AB2"/>
        </w:rPr>
      </w:pPr>
    </w:p>
    <w:p w14:paraId="1D62B360" w14:textId="77777777" w:rsidR="00EE22B1" w:rsidRDefault="00000000">
      <w:pPr>
        <w:spacing w:line="276" w:lineRule="auto"/>
        <w:ind w:right="-574"/>
        <w:jc w:val="right"/>
        <w:rPr>
          <w:rFonts w:ascii="Open Sans Light" w:eastAsia="Open Sans Light" w:hAnsi="Open Sans Light" w:cs="Open Sans Light"/>
          <w:b/>
          <w:bCs/>
          <w:color w:val="303AB2"/>
        </w:rPr>
      </w:pPr>
      <w:r>
        <w:rPr>
          <w:rFonts w:ascii="Open Sans Light" w:eastAsia="Open Sans Light" w:hAnsi="Open Sans Light" w:cs="Open Sans Light"/>
          <w:b/>
          <w:bCs/>
          <w:color w:val="303AB2"/>
        </w:rPr>
        <w:t>Sobre Fotocasa Group</w:t>
      </w:r>
    </w:p>
    <w:p w14:paraId="6E8822E5" w14:textId="77777777" w:rsidR="00EE22B1" w:rsidRDefault="00000000">
      <w:pPr>
        <w:shd w:val="clear" w:color="auto" w:fill="FFFFFF"/>
        <w:spacing w:before="280" w:after="280" w:line="276" w:lineRule="auto"/>
        <w:ind w:right="-574"/>
        <w:jc w:val="both"/>
        <w:rPr>
          <w:rFonts w:ascii="Open Sans" w:eastAsia="Open Sans" w:hAnsi="Open Sans" w:cs="Open Sans"/>
          <w:sz w:val="22"/>
          <w:szCs w:val="22"/>
        </w:rPr>
      </w:pPr>
      <w:r>
        <w:rPr>
          <w:rFonts w:ascii="Open Sans" w:eastAsia="Open Sans" w:hAnsi="Open Sans" w:cs="Open Sans"/>
          <w:b/>
          <w:bCs/>
          <w:sz w:val="22"/>
          <w:szCs w:val="22"/>
        </w:rPr>
        <w:t>Fotocasa Group</w:t>
      </w:r>
      <w:r>
        <w:rPr>
          <w:rFonts w:ascii="Open Sans" w:eastAsia="Open Sans" w:hAnsi="Open Sans" w:cs="Open Sans"/>
          <w:sz w:val="22"/>
          <w:szCs w:val="22"/>
        </w:rPr>
        <w:t xml:space="preserve"> es un referente del sector inmobiliario en España, </w:t>
      </w:r>
      <w:r>
        <w:rPr>
          <w:rFonts w:ascii="Open Sans" w:eastAsia="Open Sans" w:hAnsi="Open Sans" w:cs="Open Sans"/>
          <w:b/>
          <w:bCs/>
          <w:sz w:val="22"/>
          <w:szCs w:val="22"/>
        </w:rPr>
        <w:t>con más de 25 años de experiencia</w:t>
      </w:r>
      <w:r>
        <w:rPr>
          <w:rFonts w:ascii="Open Sans" w:eastAsia="Open Sans" w:hAnsi="Open Sans" w:cs="Open Sans"/>
          <w:sz w:val="22"/>
          <w:szCs w:val="22"/>
        </w:rPr>
        <w:t> liderando la transformación del real estate a través de la innovación, los datos y la tecnología.</w:t>
      </w:r>
    </w:p>
    <w:p w14:paraId="77AF8DCB" w14:textId="77777777" w:rsidR="00EE22B1" w:rsidRDefault="00000000">
      <w:pPr>
        <w:shd w:val="clear" w:color="auto" w:fill="FFFFFF"/>
        <w:spacing w:before="280" w:after="280" w:line="276" w:lineRule="auto"/>
        <w:ind w:right="-574"/>
        <w:jc w:val="both"/>
        <w:rPr>
          <w:rFonts w:ascii="Open Sans" w:eastAsia="Open Sans" w:hAnsi="Open Sans" w:cs="Open Sans"/>
          <w:sz w:val="22"/>
          <w:szCs w:val="22"/>
        </w:rPr>
      </w:pPr>
      <w:r>
        <w:rPr>
          <w:rFonts w:ascii="Open Sans" w:eastAsia="Open Sans" w:hAnsi="Open Sans" w:cs="Open Sans"/>
          <w:sz w:val="22"/>
          <w:szCs w:val="22"/>
        </w:rPr>
        <w:t>Bajo su marca paraguas, Fotocasa Group impulsa y da visibilidad a un ecosistema de marcas líderes —</w:t>
      </w:r>
      <w:hyperlink r:id="rId20">
        <w:r>
          <w:rPr>
            <w:rFonts w:ascii="Open Sans" w:eastAsia="Open Sans" w:hAnsi="Open Sans" w:cs="Open Sans"/>
            <w:b/>
            <w:bCs/>
            <w:color w:val="0000FF"/>
            <w:sz w:val="22"/>
            <w:szCs w:val="22"/>
            <w:u w:val="single"/>
          </w:rPr>
          <w:t>Fotocasa</w:t>
        </w:r>
      </w:hyperlink>
      <w:r>
        <w:rPr>
          <w:rFonts w:ascii="Open Sans" w:eastAsia="Open Sans" w:hAnsi="Open Sans" w:cs="Open Sans"/>
          <w:sz w:val="22"/>
          <w:szCs w:val="22"/>
        </w:rPr>
        <w:t xml:space="preserve">, </w:t>
      </w:r>
      <w:hyperlink r:id="rId21">
        <w:r>
          <w:rPr>
            <w:rFonts w:ascii="Open Sans" w:eastAsia="Open Sans" w:hAnsi="Open Sans" w:cs="Open Sans"/>
            <w:b/>
            <w:bCs/>
            <w:color w:val="0000FF"/>
            <w:sz w:val="22"/>
            <w:szCs w:val="22"/>
            <w:u w:val="single"/>
          </w:rPr>
          <w:t>habitaclia</w:t>
        </w:r>
      </w:hyperlink>
      <w:r>
        <w:rPr>
          <w:rFonts w:ascii="Open Sans" w:eastAsia="Open Sans" w:hAnsi="Open Sans" w:cs="Open Sans"/>
          <w:sz w:val="22"/>
          <w:szCs w:val="22"/>
        </w:rPr>
        <w:t xml:space="preserve">, </w:t>
      </w:r>
      <w:hyperlink r:id="rId22">
        <w:r>
          <w:rPr>
            <w:rFonts w:ascii="Open Sans" w:eastAsia="Open Sans" w:hAnsi="Open Sans" w:cs="Open Sans"/>
            <w:b/>
            <w:bCs/>
            <w:color w:val="0000FF"/>
            <w:sz w:val="22"/>
            <w:szCs w:val="22"/>
            <w:u w:val="single"/>
          </w:rPr>
          <w:t>Fotocasa Pro</w:t>
        </w:r>
      </w:hyperlink>
      <w:r>
        <w:rPr>
          <w:rFonts w:ascii="Open Sans" w:eastAsia="Open Sans" w:hAnsi="Open Sans" w:cs="Open Sans"/>
          <w:sz w:val="22"/>
          <w:szCs w:val="22"/>
        </w:rPr>
        <w:t xml:space="preserve">, </w:t>
      </w:r>
      <w:hyperlink r:id="rId23">
        <w:r>
          <w:rPr>
            <w:rFonts w:ascii="Open Sans" w:eastAsia="Open Sans" w:hAnsi="Open Sans" w:cs="Open Sans"/>
            <w:b/>
            <w:bCs/>
            <w:color w:val="0000FF"/>
            <w:sz w:val="22"/>
            <w:szCs w:val="22"/>
            <w:u w:val="single"/>
          </w:rPr>
          <w:t>Datavenues</w:t>
        </w:r>
      </w:hyperlink>
      <w:r>
        <w:rPr>
          <w:rFonts w:ascii="Open Sans" w:eastAsia="Open Sans" w:hAnsi="Open Sans" w:cs="Open Sans"/>
          <w:sz w:val="22"/>
          <w:szCs w:val="22"/>
        </w:rPr>
        <w:t xml:space="preserve">, </w:t>
      </w:r>
      <w:hyperlink r:id="rId24">
        <w:r>
          <w:rPr>
            <w:rFonts w:ascii="Open Sans" w:eastAsia="Open Sans" w:hAnsi="Open Sans" w:cs="Open Sans"/>
            <w:b/>
            <w:bCs/>
            <w:color w:val="0000FF"/>
            <w:sz w:val="22"/>
            <w:szCs w:val="22"/>
            <w:u w:val="single"/>
          </w:rPr>
          <w:t>Witei</w:t>
        </w:r>
      </w:hyperlink>
      <w:r>
        <w:rPr>
          <w:rFonts w:ascii="Open Sans" w:eastAsia="Open Sans" w:hAnsi="Open Sans" w:cs="Open Sans"/>
          <w:sz w:val="22"/>
          <w:szCs w:val="22"/>
        </w:rPr>
        <w:t xml:space="preserve"> e </w:t>
      </w:r>
      <w:hyperlink r:id="rId25">
        <w:r>
          <w:rPr>
            <w:rFonts w:ascii="Open Sans" w:eastAsia="Open Sans" w:hAnsi="Open Sans" w:cs="Open Sans"/>
            <w:b/>
            <w:bCs/>
            <w:color w:val="0000FF"/>
            <w:sz w:val="22"/>
            <w:szCs w:val="22"/>
          </w:rPr>
          <w:t>Inmoweb</w:t>
        </w:r>
      </w:hyperlink>
      <w:r>
        <w:rPr>
          <w:rFonts w:ascii="Open Sans" w:eastAsia="Open Sans" w:hAnsi="Open Sans" w:cs="Open Sans"/>
          <w:sz w:val="22"/>
          <w:szCs w:val="22"/>
        </w:rPr>
        <w:t xml:space="preserve">— que ofrecen soluciones integrales tanto </w:t>
      </w:r>
      <w:r>
        <w:rPr>
          <w:rFonts w:ascii="Open Sans" w:eastAsia="Open Sans" w:hAnsi="Open Sans" w:cs="Open Sans"/>
          <w:b/>
          <w:bCs/>
          <w:sz w:val="22"/>
          <w:szCs w:val="22"/>
        </w:rPr>
        <w:t>para particulares como para profesionales del sector</w:t>
      </w:r>
      <w:r>
        <w:rPr>
          <w:rFonts w:ascii="Open Sans" w:eastAsia="Open Sans" w:hAnsi="Open Sans" w:cs="Open Sans"/>
          <w:sz w:val="22"/>
          <w:szCs w:val="22"/>
        </w:rPr>
        <w:t>.</w:t>
      </w:r>
    </w:p>
    <w:p w14:paraId="24DFA673" w14:textId="77777777" w:rsidR="00EE22B1" w:rsidRDefault="00000000">
      <w:pPr>
        <w:shd w:val="clear" w:color="auto" w:fill="FFFFFF"/>
        <w:spacing w:before="280" w:after="280" w:line="276" w:lineRule="auto"/>
        <w:ind w:right="-574"/>
        <w:jc w:val="both"/>
        <w:rPr>
          <w:rFonts w:ascii="Open Sans" w:eastAsia="Open Sans" w:hAnsi="Open Sans" w:cs="Open Sans"/>
          <w:sz w:val="22"/>
          <w:szCs w:val="22"/>
        </w:rPr>
      </w:pPr>
      <w:r>
        <w:rPr>
          <w:rFonts w:ascii="Open Sans" w:eastAsia="Open Sans" w:hAnsi="Open Sans" w:cs="Open Sans"/>
          <w:b/>
          <w:bCs/>
          <w:sz w:val="22"/>
          <w:szCs w:val="22"/>
        </w:rPr>
        <w:t>Fotocasa</w:t>
      </w:r>
      <w:r>
        <w:rPr>
          <w:rFonts w:ascii="Open Sans" w:eastAsia="Open Sans" w:hAnsi="Open Sans" w:cs="Open Sans"/>
          <w:sz w:val="22"/>
          <w:szCs w:val="22"/>
        </w:rPr>
        <w:t>, la marca insignia del grupo, conecta cada día a </w:t>
      </w:r>
      <w:r>
        <w:rPr>
          <w:rFonts w:ascii="Open Sans" w:eastAsia="Open Sans" w:hAnsi="Open Sans" w:cs="Open Sans"/>
          <w:b/>
          <w:bCs/>
          <w:sz w:val="22"/>
          <w:szCs w:val="22"/>
        </w:rPr>
        <w:t>millones de personas con su próximo hogar</w:t>
      </w:r>
      <w:r>
        <w:rPr>
          <w:rFonts w:ascii="Open Sans" w:eastAsia="Open Sans" w:hAnsi="Open Sans" w:cs="Open Sans"/>
          <w:sz w:val="22"/>
          <w:szCs w:val="22"/>
        </w:rPr>
        <w:t>, ofreciendo la mayor oferta de viviendas de segunda mano, obra nueva, alquiler y compraventa, junto con análisis y contenidos que la consolidan como un auténtico </w:t>
      </w:r>
      <w:r>
        <w:rPr>
          <w:rFonts w:ascii="Open Sans" w:eastAsia="Open Sans" w:hAnsi="Open Sans" w:cs="Open Sans"/>
          <w:b/>
          <w:bCs/>
          <w:sz w:val="22"/>
          <w:szCs w:val="22"/>
        </w:rPr>
        <w:t>referente del mercado inmobiliario</w:t>
      </w:r>
      <w:r>
        <w:rPr>
          <w:rFonts w:ascii="Open Sans" w:eastAsia="Open Sans" w:hAnsi="Open Sans" w:cs="Open Sans"/>
          <w:sz w:val="22"/>
          <w:szCs w:val="22"/>
        </w:rPr>
        <w:t>.</w:t>
      </w:r>
    </w:p>
    <w:p w14:paraId="33014D70" w14:textId="77777777" w:rsidR="00EE22B1" w:rsidRDefault="00000000">
      <w:pPr>
        <w:spacing w:line="276" w:lineRule="auto"/>
        <w:ind w:right="-574"/>
        <w:jc w:val="both"/>
        <w:rPr>
          <w:rFonts w:ascii="Open Sans" w:eastAsia="Open Sans" w:hAnsi="Open Sans" w:cs="Open Sans"/>
          <w:sz w:val="22"/>
          <w:szCs w:val="22"/>
        </w:rPr>
      </w:pPr>
      <w:r>
        <w:rPr>
          <w:rFonts w:ascii="Open Sans" w:eastAsia="Open Sans" w:hAnsi="Open Sans" w:cs="Open Sans"/>
          <w:b/>
          <w:bCs/>
          <w:sz w:val="22"/>
          <w:szCs w:val="22"/>
        </w:rPr>
        <w:t>Fotocasa Group forma parte de Scout24</w:t>
      </w:r>
      <w:r>
        <w:rPr>
          <w:rFonts w:ascii="Open Sans" w:eastAsia="Open Sans" w:hAnsi="Open Sans" w:cs="Open Sans"/>
          <w:sz w:val="22"/>
          <w:szCs w:val="22"/>
        </w:rPr>
        <w:t xml:space="preserve">, el grupo tecnológico alemán líder en Europa que opera </w:t>
      </w:r>
      <w:r>
        <w:rPr>
          <w:rFonts w:ascii="Open Sans" w:eastAsia="Open Sans" w:hAnsi="Open Sans" w:cs="Open Sans"/>
          <w:b/>
          <w:bCs/>
          <w:sz w:val="22"/>
          <w:szCs w:val="22"/>
        </w:rPr>
        <w:t>ImmoScout24</w:t>
      </w:r>
      <w:r>
        <w:rPr>
          <w:rFonts w:ascii="Open Sans" w:eastAsia="Open Sans" w:hAnsi="Open Sans" w:cs="Open Sans"/>
          <w:sz w:val="22"/>
          <w:szCs w:val="22"/>
        </w:rPr>
        <w:t xml:space="preserve">. </w:t>
      </w:r>
    </w:p>
    <w:p w14:paraId="54049C5A" w14:textId="77777777" w:rsidR="00EE22B1" w:rsidRDefault="00EE22B1">
      <w:pPr>
        <w:spacing w:line="276" w:lineRule="auto"/>
        <w:ind w:right="-574"/>
        <w:jc w:val="both"/>
        <w:rPr>
          <w:rFonts w:ascii="Open Sans" w:eastAsia="Open Sans" w:hAnsi="Open Sans" w:cs="Open Sans"/>
          <w:sz w:val="22"/>
          <w:szCs w:val="22"/>
        </w:rPr>
      </w:pPr>
    </w:p>
    <w:p w14:paraId="4FEEFA4B" w14:textId="77777777" w:rsidR="00EE22B1" w:rsidRDefault="00000000">
      <w:pPr>
        <w:spacing w:line="276" w:lineRule="auto"/>
        <w:ind w:right="-574"/>
        <w:jc w:val="right"/>
        <w:rPr>
          <w:rFonts w:ascii="Open Sans Light" w:eastAsia="Open Sans Light" w:hAnsi="Open Sans Light" w:cs="Open Sans Light"/>
          <w:b/>
          <w:bCs/>
          <w:color w:val="303AB2"/>
        </w:rPr>
      </w:pPr>
      <w:r>
        <w:rPr>
          <w:rFonts w:ascii="Open Sans Light" w:eastAsia="Open Sans Light" w:hAnsi="Open Sans Light" w:cs="Open Sans Light"/>
          <w:b/>
          <w:bCs/>
          <w:color w:val="303AB2"/>
        </w:rPr>
        <w:t>Sobre Scout24</w:t>
      </w:r>
    </w:p>
    <w:p w14:paraId="1E04E1AB" w14:textId="77777777" w:rsidR="00EE22B1" w:rsidRDefault="00EE22B1">
      <w:pPr>
        <w:pBdr>
          <w:top w:val="nil"/>
          <w:left w:val="nil"/>
          <w:bottom w:val="nil"/>
          <w:right w:val="nil"/>
          <w:between w:val="nil"/>
        </w:pBdr>
        <w:spacing w:line="276" w:lineRule="auto"/>
        <w:ind w:right="-574"/>
        <w:jc w:val="both"/>
        <w:rPr>
          <w:rFonts w:ascii="Open Sans" w:eastAsia="Open Sans" w:hAnsi="Open Sans" w:cs="Open Sans"/>
          <w:sz w:val="22"/>
          <w:szCs w:val="22"/>
        </w:rPr>
      </w:pPr>
    </w:p>
    <w:p w14:paraId="3C522F78" w14:textId="77777777" w:rsidR="00EE22B1" w:rsidRDefault="00000000">
      <w:pPr>
        <w:pBdr>
          <w:top w:val="nil"/>
          <w:left w:val="nil"/>
          <w:bottom w:val="nil"/>
          <w:right w:val="nil"/>
          <w:between w:val="nil"/>
        </w:pBdr>
        <w:spacing w:line="276" w:lineRule="auto"/>
        <w:ind w:right="-574"/>
        <w:jc w:val="both"/>
        <w:rPr>
          <w:rFonts w:ascii="Open Sans" w:eastAsia="Open Sans" w:hAnsi="Open Sans" w:cs="Open Sans"/>
          <w:sz w:val="22"/>
          <w:szCs w:val="22"/>
        </w:rPr>
      </w:pPr>
      <w:r>
        <w:rPr>
          <w:rFonts w:ascii="Open Sans" w:eastAsia="Open Sans" w:hAnsi="Open Sans" w:cs="Open Sans"/>
          <w:b/>
          <w:bCs/>
          <w:sz w:val="22"/>
          <w:szCs w:val="22"/>
        </w:rPr>
        <w:t>Scout24 es una de las empresas tecnológicas líderes en Alemania</w:t>
      </w:r>
      <w:r>
        <w:rPr>
          <w:rFonts w:ascii="Open Sans" w:eastAsia="Open Sans" w:hAnsi="Open Sans" w:cs="Open Sans"/>
          <w:sz w:val="22"/>
          <w:szCs w:val="22"/>
        </w:rPr>
        <w:t xml:space="preserve">. Con el marketplace </w:t>
      </w:r>
      <w:hyperlink r:id="rId26">
        <w:r>
          <w:rPr>
            <w:rFonts w:ascii="Open Sans" w:eastAsia="Open Sans" w:hAnsi="Open Sans" w:cs="Open Sans"/>
            <w:color w:val="0000FF"/>
            <w:sz w:val="22"/>
            <w:szCs w:val="22"/>
            <w:u w:val="single"/>
          </w:rPr>
          <w:t>ImmoScout24</w:t>
        </w:r>
      </w:hyperlink>
      <w:r>
        <w:rPr>
          <w:rFonts w:ascii="Open Sans" w:eastAsia="Open Sans" w:hAnsi="Open Sans" w:cs="Open Sans"/>
          <w:sz w:val="22"/>
          <w:szCs w:val="22"/>
        </w:rPr>
        <w:t xml:space="preserve">, especializado en el sector residencial y comercial, conectamos con éxito a propietarios, agentes inmobiliarios, inquilinos y compradores desde hace más de 25 años. </w:t>
      </w:r>
    </w:p>
    <w:p w14:paraId="37F3D9F9" w14:textId="77777777" w:rsidR="00EE22B1" w:rsidRDefault="00EE22B1">
      <w:pPr>
        <w:pBdr>
          <w:top w:val="nil"/>
          <w:left w:val="nil"/>
          <w:bottom w:val="nil"/>
          <w:right w:val="nil"/>
          <w:between w:val="nil"/>
        </w:pBdr>
        <w:spacing w:line="276" w:lineRule="auto"/>
        <w:ind w:right="-574"/>
        <w:jc w:val="both"/>
        <w:rPr>
          <w:rFonts w:ascii="Open Sans" w:eastAsia="Open Sans" w:hAnsi="Open Sans" w:cs="Open Sans"/>
          <w:sz w:val="22"/>
          <w:szCs w:val="22"/>
        </w:rPr>
      </w:pPr>
    </w:p>
    <w:p w14:paraId="20FDF4F5" w14:textId="77777777" w:rsidR="00EE22B1" w:rsidRDefault="00000000">
      <w:pPr>
        <w:pBdr>
          <w:top w:val="nil"/>
          <w:left w:val="nil"/>
          <w:bottom w:val="nil"/>
          <w:right w:val="nil"/>
          <w:between w:val="nil"/>
        </w:pBdr>
        <w:spacing w:line="276" w:lineRule="auto"/>
        <w:ind w:right="-574"/>
        <w:jc w:val="both"/>
        <w:rPr>
          <w:rFonts w:ascii="Open Sans" w:eastAsia="Open Sans" w:hAnsi="Open Sans" w:cs="Open Sans"/>
          <w:sz w:val="22"/>
          <w:szCs w:val="22"/>
        </w:rPr>
      </w:pPr>
      <w:r>
        <w:rPr>
          <w:rFonts w:ascii="Open Sans" w:eastAsia="Open Sans" w:hAnsi="Open Sans" w:cs="Open Sans"/>
          <w:sz w:val="22"/>
          <w:szCs w:val="22"/>
        </w:rPr>
        <w:t xml:space="preserve">Con aproximadamente 19 millones de usuarios al mes en su web o aplicación, </w:t>
      </w:r>
      <w:r>
        <w:rPr>
          <w:rFonts w:ascii="Open Sans" w:eastAsia="Open Sans" w:hAnsi="Open Sans" w:cs="Open Sans"/>
          <w:b/>
          <w:bCs/>
          <w:sz w:val="22"/>
          <w:szCs w:val="22"/>
        </w:rPr>
        <w:t>ImmoScout24 es el líder del mercado en listados y búsqueda inmobiliaria digital</w:t>
      </w:r>
      <w:r>
        <w:rPr>
          <w:rFonts w:ascii="Open Sans" w:eastAsia="Open Sans" w:hAnsi="Open Sans" w:cs="Open Sans"/>
          <w:sz w:val="22"/>
          <w:szCs w:val="22"/>
        </w:rPr>
        <w:t>. Para digitalizar el proceso de las transacciones inmobiliarias, ImmoScout24 desarrolla continuamente nuevos productos y construye un ecosistema conectado y rico en datos para el alquiler, la compra y el sector inmobiliario comercial en Alemania y Austria. Scout24 es una sociedad anónima que cotiza en bolsa (ISIN: DE000A12DM80, Ticker: G24) y miembro del DAX, así como del DAX 50 ESG y el DAX 50 ESG+.</w:t>
      </w:r>
    </w:p>
    <w:p w14:paraId="49AB2A21" w14:textId="77777777" w:rsidR="00EE22B1" w:rsidRDefault="00EE22B1">
      <w:pPr>
        <w:spacing w:line="276" w:lineRule="auto"/>
        <w:ind w:right="-574"/>
        <w:rPr>
          <w:rFonts w:ascii="Open Sans" w:eastAsia="Open Sans" w:hAnsi="Open Sans" w:cs="Open Sans"/>
        </w:rPr>
      </w:pPr>
    </w:p>
    <w:p w14:paraId="467C06A2" w14:textId="77777777" w:rsidR="00EE22B1" w:rsidRDefault="00EE22B1">
      <w:pPr>
        <w:spacing w:line="276" w:lineRule="auto"/>
        <w:ind w:right="-574"/>
        <w:rPr>
          <w:rFonts w:ascii="Open Sans Light" w:eastAsia="Open Sans Light" w:hAnsi="Open Sans Light" w:cs="Open Sans Light"/>
          <w:b/>
          <w:bCs/>
          <w:color w:val="303AB2"/>
          <w:sz w:val="22"/>
          <w:szCs w:val="22"/>
        </w:rPr>
      </w:pPr>
    </w:p>
    <w:p w14:paraId="1F175C1B" w14:textId="77777777" w:rsidR="00EE22B1" w:rsidRDefault="00EE22B1">
      <w:pPr>
        <w:spacing w:line="276" w:lineRule="auto"/>
        <w:ind w:right="-574"/>
        <w:rPr>
          <w:rFonts w:ascii="Open Sans Light" w:eastAsia="Open Sans Light" w:hAnsi="Open Sans Light" w:cs="Open Sans Light"/>
          <w:b/>
          <w:bCs/>
          <w:color w:val="303AB2"/>
          <w:sz w:val="22"/>
          <w:szCs w:val="22"/>
        </w:rPr>
      </w:pPr>
    </w:p>
    <w:p w14:paraId="5E3536D2" w14:textId="77777777" w:rsidR="00EE22B1" w:rsidRDefault="00000000">
      <w:pPr>
        <w:spacing w:line="276" w:lineRule="auto"/>
        <w:ind w:right="-574"/>
        <w:rPr>
          <w:rFonts w:ascii="Open Sans Light" w:eastAsia="Open Sans Light" w:hAnsi="Open Sans Light" w:cs="Open Sans Light"/>
          <w:b/>
          <w:bCs/>
          <w:color w:val="303AB2"/>
          <w:sz w:val="22"/>
          <w:szCs w:val="22"/>
        </w:rPr>
      </w:pPr>
      <w:r>
        <w:rPr>
          <w:rFonts w:ascii="Open Sans Light" w:eastAsia="Open Sans Light" w:hAnsi="Open Sans Light" w:cs="Open Sans Light"/>
          <w:b/>
          <w:bCs/>
          <w:color w:val="303AB2"/>
          <w:sz w:val="22"/>
          <w:szCs w:val="22"/>
        </w:rPr>
        <w:lastRenderedPageBreak/>
        <w:t>Departamento Comunicación Fotocasa</w:t>
      </w:r>
    </w:p>
    <w:p w14:paraId="3A850D47" w14:textId="77777777" w:rsidR="00EE22B1" w:rsidRDefault="00000000">
      <w:pPr>
        <w:shd w:val="clear" w:color="auto" w:fill="FFFFFF"/>
        <w:spacing w:line="276" w:lineRule="auto"/>
        <w:ind w:right="-574"/>
        <w:rPr>
          <w:rFonts w:ascii="Open Sans" w:eastAsia="Open Sans" w:hAnsi="Open Sans" w:cs="Open Sans"/>
          <w:b/>
          <w:bCs/>
          <w:color w:val="000000"/>
          <w:sz w:val="22"/>
          <w:szCs w:val="22"/>
        </w:rPr>
      </w:pPr>
      <w:r>
        <w:rPr>
          <w:rFonts w:ascii="Open Sans" w:eastAsia="Open Sans" w:hAnsi="Open Sans" w:cs="Open Sans"/>
          <w:b/>
          <w:bCs/>
          <w:color w:val="000000"/>
          <w:sz w:val="22"/>
          <w:szCs w:val="22"/>
        </w:rPr>
        <w:t>Anaïs García</w:t>
      </w:r>
    </w:p>
    <w:p w14:paraId="1D5B215B" w14:textId="77777777" w:rsidR="00EE22B1" w:rsidRDefault="00000000">
      <w:pPr>
        <w:shd w:val="clear" w:color="auto" w:fill="FFFFFF"/>
        <w:spacing w:line="276" w:lineRule="auto"/>
        <w:ind w:right="-574"/>
        <w:rPr>
          <w:rFonts w:ascii="Open Sans" w:eastAsia="Open Sans" w:hAnsi="Open Sans" w:cs="Open Sans"/>
          <w:color w:val="0000FF"/>
          <w:sz w:val="22"/>
          <w:szCs w:val="22"/>
          <w:u w:val="single"/>
        </w:rPr>
      </w:pPr>
      <w:hyperlink r:id="rId27">
        <w:r>
          <w:rPr>
            <w:rFonts w:ascii="Open Sans" w:eastAsia="Open Sans" w:hAnsi="Open Sans" w:cs="Open Sans"/>
            <w:color w:val="0000FF"/>
            <w:sz w:val="22"/>
            <w:szCs w:val="22"/>
            <w:u w:val="single"/>
          </w:rPr>
          <w:t>comunicacion@fotocasa.es</w:t>
        </w:r>
      </w:hyperlink>
    </w:p>
    <w:p w14:paraId="4C1B5B40" w14:textId="77777777" w:rsidR="00EE22B1" w:rsidRDefault="00000000">
      <w:pPr>
        <w:shd w:val="clear" w:color="auto" w:fill="FFFFFF"/>
        <w:spacing w:line="276" w:lineRule="auto"/>
        <w:ind w:right="-574"/>
        <w:rPr>
          <w:rFonts w:ascii="Open Sans" w:eastAsia="Open Sans" w:hAnsi="Open Sans" w:cs="Open Sans"/>
          <w:color w:val="000000"/>
          <w:sz w:val="22"/>
          <w:szCs w:val="22"/>
        </w:rPr>
      </w:pPr>
      <w:r>
        <w:rPr>
          <w:rFonts w:ascii="Open Sans" w:eastAsia="Open Sans" w:hAnsi="Open Sans" w:cs="Open Sans"/>
          <w:color w:val="000000"/>
          <w:sz w:val="22"/>
          <w:szCs w:val="22"/>
        </w:rPr>
        <w:t>620 66 29 26</w:t>
      </w:r>
    </w:p>
    <w:p w14:paraId="5088931F" w14:textId="77777777" w:rsidR="00EE22B1" w:rsidRDefault="00EE22B1">
      <w:pPr>
        <w:spacing w:line="276" w:lineRule="auto"/>
        <w:ind w:right="-574"/>
        <w:jc w:val="right"/>
        <w:rPr>
          <w:rFonts w:ascii="Open Sans" w:eastAsia="Open Sans" w:hAnsi="Open Sans" w:cs="Open Sans"/>
          <w:color w:val="000000"/>
          <w:sz w:val="21"/>
          <w:szCs w:val="21"/>
        </w:rPr>
      </w:pPr>
    </w:p>
    <w:sectPr w:rsidR="00EE22B1">
      <w:footerReference w:type="default" r:id="rId28"/>
      <w:pgSz w:w="11900" w:h="1684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059F1" w14:textId="77777777" w:rsidR="006E7F24" w:rsidRDefault="006E7F24">
      <w:r>
        <w:separator/>
      </w:r>
    </w:p>
  </w:endnote>
  <w:endnote w:type="continuationSeparator" w:id="0">
    <w:p w14:paraId="32C31A2B" w14:textId="77777777" w:rsidR="006E7F24" w:rsidRDefault="006E7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B5125A99-A1F1-45F4-AE4A-AD92A7CC564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D89F3159-1E22-4946-A70F-79018E83C8AA}"/>
    <w:embedBold r:id="rId3" w:fontKey="{C217566A-D5D1-45AB-A28E-5FFD24E52EBD}"/>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9D2B306B-969E-4386-9D21-D7ABAF4B9378}"/>
  </w:font>
  <w:font w:name="National">
    <w:altName w:val="Calibri"/>
    <w:charset w:val="00"/>
    <w:family w:val="auto"/>
    <w:pitch w:val="default"/>
  </w:font>
  <w:font w:name="Open Sans">
    <w:charset w:val="00"/>
    <w:family w:val="swiss"/>
    <w:pitch w:val="variable"/>
    <w:sig w:usb0="E00002EF" w:usb1="4000205B" w:usb2="00000028" w:usb3="00000000" w:csb0="0000019F" w:csb1="00000000"/>
    <w:embedRegular r:id="rId5" w:fontKey="{6DB377B5-6DF1-43B3-BB3B-9A08BA220A4D}"/>
    <w:embedBold r:id="rId6" w:fontKey="{B5380F2C-D3B7-4F89-8CC2-4CE744914D6B}"/>
    <w:embedItalic r:id="rId7" w:fontKey="{B21C141A-1049-412B-A2C0-9DAD7BC1E60A}"/>
    <w:embedBoldItalic r:id="rId8" w:fontKey="{470F61FC-D3B3-493C-9712-85110AFC268E}"/>
  </w:font>
  <w:font w:name="Open Sans Light">
    <w:charset w:val="00"/>
    <w:family w:val="swiss"/>
    <w:pitch w:val="variable"/>
    <w:sig w:usb0="E00002EF" w:usb1="4000205B" w:usb2="00000028" w:usb3="00000000" w:csb0="0000019F" w:csb1="00000000"/>
    <w:embedRegular r:id="rId9" w:fontKey="{DC2710C7-98E0-467D-9866-A78B34797D1E}"/>
    <w:embedBold r:id="rId10" w:fontKey="{D6FBDD60-D1D2-4C03-93AE-FBFD410C3058}"/>
  </w:font>
  <w:font w:name="Cambria">
    <w:panose1 w:val="02040503050406030204"/>
    <w:charset w:val="00"/>
    <w:family w:val="roman"/>
    <w:pitch w:val="variable"/>
    <w:sig w:usb0="E00006FF" w:usb1="420024FF" w:usb2="02000000" w:usb3="00000000" w:csb0="0000019F" w:csb1="00000000"/>
    <w:embedRegular r:id="rId11" w:fontKey="{8D2BD3BE-014C-42F8-A9F6-D2F9320872D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84195" w14:textId="77777777" w:rsidR="00EE22B1" w:rsidRDefault="00000000">
    <w:pPr>
      <w:pBdr>
        <w:top w:val="nil"/>
        <w:left w:val="nil"/>
        <w:bottom w:val="nil"/>
        <w:right w:val="nil"/>
        <w:between w:val="nil"/>
      </w:pBdr>
      <w:tabs>
        <w:tab w:val="center" w:pos="4252"/>
        <w:tab w:val="right" w:pos="8504"/>
      </w:tabs>
      <w:jc w:val="right"/>
      <w:rPr>
        <w:color w:val="000000"/>
      </w:rPr>
    </w:pPr>
    <w:r>
      <w:rPr>
        <w:color w:val="4472C4"/>
        <w:sz w:val="20"/>
        <w:szCs w:val="20"/>
      </w:rPr>
      <w:t xml:space="preserve">pág. </w:t>
    </w:r>
    <w:r>
      <w:rPr>
        <w:color w:val="4472C4"/>
        <w:sz w:val="20"/>
        <w:szCs w:val="20"/>
      </w:rPr>
      <w:fldChar w:fldCharType="begin"/>
    </w:r>
    <w:r>
      <w:rPr>
        <w:color w:val="4472C4"/>
        <w:sz w:val="20"/>
        <w:szCs w:val="20"/>
      </w:rPr>
      <w:instrText>PAGE</w:instrText>
    </w:r>
    <w:r>
      <w:rPr>
        <w:color w:val="4472C4"/>
        <w:sz w:val="20"/>
        <w:szCs w:val="20"/>
      </w:rPr>
      <w:fldChar w:fldCharType="separate"/>
    </w:r>
    <w:r w:rsidR="007841BC">
      <w:rPr>
        <w:noProof/>
        <w:color w:val="4472C4"/>
        <w:sz w:val="20"/>
        <w:szCs w:val="20"/>
      </w:rPr>
      <w:t>1</w:t>
    </w:r>
    <w:r>
      <w:rPr>
        <w:color w:val="4472C4"/>
        <w:sz w:val="20"/>
        <w:szCs w:val="20"/>
      </w:rPr>
      <w:fldChar w:fldCharType="end"/>
    </w:r>
  </w:p>
  <w:p w14:paraId="2D98C413" w14:textId="77777777" w:rsidR="00EE22B1" w:rsidRDefault="00EE22B1">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FEC92" w14:textId="77777777" w:rsidR="006E7F24" w:rsidRDefault="006E7F24">
      <w:r>
        <w:separator/>
      </w:r>
    </w:p>
  </w:footnote>
  <w:footnote w:type="continuationSeparator" w:id="0">
    <w:p w14:paraId="7B9A3BF4" w14:textId="77777777" w:rsidR="006E7F24" w:rsidRDefault="006E7F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5B7F96"/>
    <w:multiLevelType w:val="multilevel"/>
    <w:tmpl w:val="CA409E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14446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2B1"/>
    <w:rsid w:val="000078AC"/>
    <w:rsid w:val="006E7F24"/>
    <w:rsid w:val="007841BC"/>
    <w:rsid w:val="00EE2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E6539"/>
  <w15:docId w15:val="{FCAF83B3-FF6D-444A-9566-5D1B5CF55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a1">
    <w:basedOn w:val="TableNormal0"/>
    <w:tblPr>
      <w:tblStyleRowBandSize w:val="1"/>
      <w:tblStyleColBandSize w:val="1"/>
      <w:tblCellMar>
        <w:top w:w="0" w:type="dxa"/>
        <w:left w:w="115" w:type="dxa"/>
        <w:bottom w:w="0" w:type="dxa"/>
        <w:right w:w="115"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a2">
    <w:basedOn w:val="TableNormal0"/>
    <w:tblPr>
      <w:tblStyleRowBandSize w:val="1"/>
      <w:tblStyleColBandSize w:val="1"/>
      <w:tblCellMar>
        <w:top w:w="0" w:type="dxa"/>
        <w:left w:w="115" w:type="dxa"/>
        <w:bottom w:w="0" w:type="dxa"/>
        <w:right w:w="115"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a3">
    <w:basedOn w:val="TableNormal0"/>
    <w:tblPr>
      <w:tblStyleRowBandSize w:val="1"/>
      <w:tblStyleColBandSize w:val="1"/>
      <w:tblCellMar>
        <w:top w:w="0" w:type="dxa"/>
        <w:left w:w="115" w:type="dxa"/>
        <w:bottom w:w="0" w:type="dxa"/>
        <w:right w:w="115"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s://www.research.fotocasa.es" TargetMode="External"/><Relationship Id="rId26" Type="http://schemas.openxmlformats.org/officeDocument/2006/relationships/hyperlink" Target="https://www.immobilienscout24.de/" TargetMode="External"/><Relationship Id="rId3" Type="http://schemas.openxmlformats.org/officeDocument/2006/relationships/styles" Target="styles.xml"/><Relationship Id="rId21" Type="http://schemas.openxmlformats.org/officeDocument/2006/relationships/hyperlink" Target="https://www.habitaclia.com/"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ww.fotocasa.es/indice/" TargetMode="External"/><Relationship Id="rId25" Type="http://schemas.openxmlformats.org/officeDocument/2006/relationships/hyperlink" Target="https://www.inmoweb.es/" TargetMode="External"/><Relationship Id="rId2" Type="http://schemas.openxmlformats.org/officeDocument/2006/relationships/numbering" Target="numbering.xml"/><Relationship Id="rId16" Type="http://schemas.openxmlformats.org/officeDocument/2006/relationships/hyperlink" Target="http://www.fotocasa.es" TargetMode="External"/><Relationship Id="rId20" Type="http://schemas.openxmlformats.org/officeDocument/2006/relationships/hyperlink" Target="https://www.fotocasa.e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otocasa.es/es/" TargetMode="External"/><Relationship Id="rId24" Type="http://schemas.openxmlformats.org/officeDocument/2006/relationships/hyperlink" Target="https://get.witei.com/en/"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datavenues.com/" TargetMode="External"/><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prensa.fotocasa.es" TargetMode="External"/><Relationship Id="rId4" Type="http://schemas.openxmlformats.org/officeDocument/2006/relationships/settings" Target="settings.xml"/><Relationship Id="rId9" Type="http://schemas.openxmlformats.org/officeDocument/2006/relationships/hyperlink" Target="http://www.fotocasa.es" TargetMode="External"/><Relationship Id="rId14" Type="http://schemas.openxmlformats.org/officeDocument/2006/relationships/hyperlink" Target="http://www.fotocasa.es" TargetMode="External"/><Relationship Id="rId22" Type="http://schemas.openxmlformats.org/officeDocument/2006/relationships/hyperlink" Target="https://profesionales.fotocasa.es/" TargetMode="External"/><Relationship Id="rId27" Type="http://schemas.openxmlformats.org/officeDocument/2006/relationships/hyperlink" Target="mailto:comunicacion@fotocasa.es" TargetMode="Externa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fZAsfXyT1fSE2uZnePSt1nUoeQ==">CgMxLjAyDmguaWx3bWg0NzUxYWl1Mg5oLnIwbmF6aGliNmJ6ZDIOaC40Zm9kbzM2NnhlN2s4AHIhMW9CdWpaUFpZNlpUeGNtZU9BZkR1emJsYnNnN0FJaTNN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3110</Words>
  <Characters>17728</Characters>
  <Application>Microsoft Office Word</Application>
  <DocSecurity>0</DocSecurity>
  <Lines>147</Lines>
  <Paragraphs>41</Paragraphs>
  <ScaleCrop>false</ScaleCrop>
  <Company/>
  <LinksUpToDate>false</LinksUpToDate>
  <CharactersWithSpaces>20797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Anais Garcia Lopez</cp:lastModifiedBy>
  <cp:revision>2</cp:revision>
  <dcterms:created xsi:type="dcterms:W3CDTF">2026-07-20T22:33:00Z</dcterms:created>
  <dcterms:modified xsi:type="dcterms:W3CDTF">2026-07-20T22:38:00Z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2024-01-19T15:19:58Z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32155b42-5118-4e37-94f2-fef8b188b727</vt:lpwstr>
  </property>
  <property fmtid="{D5CDD505-2E9C-101B-9397-08002B2CF9AE}" pid="7" name="MSIP_Label_defa4170-0d19-0005-0004-bc88714345d2_ActionId">
    <vt:lpwstr>82eb5872-edaf-4469-8a4f-0c79d20d794a</vt:lpwstr>
  </property>
  <property fmtid="{D5CDD505-2E9C-101B-9397-08002B2CF9AE}" pid="8" name="MSIP_Label_defa4170-0d19-0005-0004-bc88714345d2_ContentBits">
    <vt:lpwstr>0</vt:lpwstr>
  </property>
</Properties>
</file>