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88668" w14:textId="77777777" w:rsidR="0062725F" w:rsidRDefault="00000000">
      <w:r>
        <w:rPr>
          <w:noProof/>
        </w:rPr>
        <w:drawing>
          <wp:anchor distT="0" distB="0" distL="114300" distR="114300" simplePos="0" relativeHeight="251658240" behindDoc="0" locked="0" layoutInCell="1" hidden="0" allowOverlap="1" wp14:anchorId="57100364" wp14:editId="1C5EFA35">
            <wp:simplePos x="0" y="0"/>
            <wp:positionH relativeFrom="column">
              <wp:posOffset>-1080116</wp:posOffset>
            </wp:positionH>
            <wp:positionV relativeFrom="paragraph">
              <wp:posOffset>-654665</wp:posOffset>
            </wp:positionV>
            <wp:extent cx="7581265" cy="10191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7291933" w14:textId="77777777" w:rsidR="0062725F" w:rsidRDefault="0062725F">
      <w:pPr>
        <w:jc w:val="right"/>
        <w:rPr>
          <w:rFonts w:ascii="National" w:eastAsia="National" w:hAnsi="National" w:cs="National"/>
          <w:color w:val="303AB2"/>
          <w:sz w:val="36"/>
          <w:szCs w:val="36"/>
        </w:rPr>
      </w:pPr>
    </w:p>
    <w:p w14:paraId="5EB89610" w14:textId="77777777" w:rsidR="0062725F" w:rsidRDefault="0062725F">
      <w:pPr>
        <w:rPr>
          <w:rFonts w:ascii="National" w:eastAsia="National" w:hAnsi="National" w:cs="National"/>
          <w:color w:val="303AB2"/>
          <w:sz w:val="18"/>
          <w:szCs w:val="18"/>
        </w:rPr>
      </w:pPr>
    </w:p>
    <w:p w14:paraId="6A61CA2A" w14:textId="77777777" w:rsidR="0062725F" w:rsidRDefault="00000000">
      <w:pPr>
        <w:pBdr>
          <w:top w:val="nil"/>
          <w:left w:val="nil"/>
          <w:bottom w:val="nil"/>
          <w:right w:val="nil"/>
          <w:between w:val="nil"/>
        </w:pBdr>
        <w:spacing w:line="276" w:lineRule="auto"/>
        <w:ind w:left="1080"/>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EL PRIMER SEMESTRE DE 2026</w:t>
      </w:r>
    </w:p>
    <w:p w14:paraId="44958BBE" w14:textId="77777777" w:rsidR="0062725F"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rPr>
      </w:pPr>
      <w:r>
        <w:rPr>
          <w:rFonts w:ascii="National" w:eastAsia="National" w:hAnsi="National" w:cs="National"/>
          <w:b/>
          <w:bCs/>
          <w:color w:val="303AB2"/>
          <w:sz w:val="46"/>
          <w:szCs w:val="46"/>
        </w:rPr>
        <w:t>Uno de cada cinco ciudadanos planea comprar vivienda en los próximos cinco años</w:t>
      </w:r>
    </w:p>
    <w:p w14:paraId="381ED3BD" w14:textId="77777777" w:rsidR="0062725F" w:rsidRDefault="0062725F">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1ADB9BA" w14:textId="77777777" w:rsidR="0062725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intención de compra en los próximos cinco años desciende del 23% al 20% entre quienes no han participado recientemente en el mercado de la vivienda</w:t>
      </w:r>
    </w:p>
    <w:p w14:paraId="50BAD3A9" w14:textId="77777777" w:rsidR="0062725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jóvenes de 25 a 34 años siguen siendo el colectivo con mayor intención de comprar, aunque también reducen sus expectativas respecto al año anterior</w:t>
      </w:r>
    </w:p>
    <w:p w14:paraId="2A56D1FD" w14:textId="77777777" w:rsidR="0062725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falta de ahorro se consolida como el principal freno para acceder a la vivienda y aumenta su peso frente a 2025</w:t>
      </w:r>
    </w:p>
    <w:p w14:paraId="5FC29759" w14:textId="77777777" w:rsidR="0062725F" w:rsidRDefault="0062725F">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7351343" w14:textId="77777777" w:rsidR="0062725F"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6 de julio de 2026</w:t>
      </w:r>
      <w:r>
        <w:rPr>
          <w:rFonts w:ascii="Open Sans Light" w:eastAsia="Open Sans Light" w:hAnsi="Open Sans Light" w:cs="Open Sans Light"/>
          <w:b/>
          <w:bCs/>
          <w:color w:val="303AB2"/>
        </w:rPr>
        <w:tab/>
      </w:r>
    </w:p>
    <w:p w14:paraId="5A30DAB0" w14:textId="77777777" w:rsidR="0062725F" w:rsidRDefault="0062725F">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F427A9D" w14:textId="77777777" w:rsidR="006272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intención de comprar una vivienda continúa a la baja entre los españoles durante el primer semestre de 2026. Aunque una parte importante de la población sigue contemplando acceder a una vivienda en propiedad en los próximos años, las expectativas se reducen respecto al mismo periodo de 2025, al tiempo que aumenta el peso de los condicionantes económicos, especialmente la falta de ahorro, como principal obstáculo para materializar esa decisión. Actualmente, solo uno de cada cinco (20%) españoles mayores de 18 años que no ha comprado ni intentado comprar una vivienda en los últimos doce meses prevé hacerlo durante los próximos cinco años, tres puntos menos que el 23% registrado en el primer semestre de 2025, </w:t>
      </w:r>
      <w:r>
        <w:rPr>
          <w:rFonts w:ascii="Open Sans" w:eastAsia="Open Sans" w:hAnsi="Open Sans" w:cs="Open Sans"/>
          <w:b/>
          <w:bCs/>
        </w:rPr>
        <w:t xml:space="preserve">según los datos del informe </w:t>
      </w:r>
      <w:hyperlink r:id="rId9">
        <w:r>
          <w:rPr>
            <w:rFonts w:ascii="Open Sans" w:eastAsia="Open Sans" w:hAnsi="Open Sans" w:cs="Open Sans"/>
            <w:b/>
            <w:bCs/>
            <w:color w:val="0000FF"/>
            <w:u w:val="single"/>
          </w:rPr>
          <w:t>”Radiografía del mercado de la vivienda en 2026”</w:t>
        </w:r>
      </w:hyperlink>
      <w:r>
        <w:rPr>
          <w:rFonts w:ascii="Open Sans" w:eastAsia="Open Sans" w:hAnsi="Open Sans" w:cs="Open Sans"/>
          <w:b/>
          <w:bCs/>
        </w:rPr>
        <w:t xml:space="preserve">, elaborado por </w:t>
      </w:r>
      <w:hyperlink r:id="rId10">
        <w:r>
          <w:rPr>
            <w:rFonts w:ascii="Open Sans" w:eastAsia="Open Sans" w:hAnsi="Open Sans" w:cs="Open Sans"/>
            <w:b/>
            <w:bCs/>
            <w:color w:val="0000FF"/>
            <w:u w:val="single"/>
          </w:rPr>
          <w:t>Fotocasa Research</w:t>
        </w:r>
      </w:hyperlink>
      <w:r>
        <w:rPr>
          <w:rFonts w:ascii="Open Sans" w:eastAsia="Open Sans" w:hAnsi="Open Sans" w:cs="Open Sans"/>
          <w:b/>
          <w:bCs/>
        </w:rPr>
        <w:t xml:space="preserve">. </w:t>
      </w:r>
      <w:r>
        <w:rPr>
          <w:rFonts w:ascii="Open Sans" w:eastAsia="Open Sans" w:hAnsi="Open Sans" w:cs="Open Sans"/>
        </w:rPr>
        <w:t>En sentido contrario, aumenta el porcentaje de quienes no contemplan adquirir una vivienda en ese horizonte temporal. En concreto, el 52% asegura que no tiene intención de comprar ni a medio ni a largo plazo, frente al 49% registrado un año antes. Mientras tanto, permanece estable en el 28% el grupo que, aunque no prevé comprar en ese periodo, tampoco descarta hacerlo más adelante.</w:t>
      </w:r>
    </w:p>
    <w:p w14:paraId="5466A95B"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017BFD7A" w14:textId="77777777" w:rsidR="0062725F"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"La demanda potencial de vivienda sigue siendo muy sólida, especialmente entre los jóvenes, que continúan siendo el colectivo con mayor intención de compra. Lo que observamos no es una pérdida del deseo de comprar una vivienda, sino un ajuste de las expectativas ante un mercado cada vez más tensionado. La compra sigue formando parte del proyecto vital de millones de españoles, pero las dificultades para ahorrar, el incremento de los precios, el encarecimiento de las hipotecas y la escasez de oferta están obligando a muchos hogares a retrasar esa decisión. Es decir, la dificultad de acceso es lo que está obligando a retrasar esa decisión de compra",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0000FF"/>
            <w:u w:val="single"/>
          </w:rPr>
          <w:t>Fotocasa</w:t>
        </w:r>
      </w:hyperlink>
      <w:r>
        <w:rPr>
          <w:rFonts w:ascii="Open Sans" w:eastAsia="Open Sans" w:hAnsi="Open Sans" w:cs="Open Sans"/>
          <w:b/>
          <w:bCs/>
        </w:rPr>
        <w:t>.</w:t>
      </w:r>
    </w:p>
    <w:p w14:paraId="0CB7D6A3" w14:textId="77777777" w:rsidR="0062725F" w:rsidRDefault="0062725F">
      <w:pPr>
        <w:pBdr>
          <w:top w:val="nil"/>
          <w:left w:val="nil"/>
          <w:bottom w:val="nil"/>
          <w:right w:val="nil"/>
          <w:between w:val="nil"/>
        </w:pBdr>
        <w:spacing w:line="276" w:lineRule="auto"/>
        <w:jc w:val="both"/>
        <w:rPr>
          <w:rFonts w:ascii="Open Sans" w:eastAsia="Open Sans" w:hAnsi="Open Sans" w:cs="Open Sans"/>
          <w:b/>
          <w:bCs/>
        </w:rPr>
      </w:pPr>
    </w:p>
    <w:p w14:paraId="03B1F03B" w14:textId="453ADCEC" w:rsidR="0062725F"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02B185CB" wp14:editId="6F667B9C">
            <wp:extent cx="5760720" cy="331025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60720" cy="3310255"/>
                    </a:xfrm>
                    <a:prstGeom prst="rect">
                      <a:avLst/>
                    </a:prstGeom>
                    <a:ln/>
                  </pic:spPr>
                </pic:pic>
              </a:graphicData>
            </a:graphic>
          </wp:inline>
        </w:drawing>
      </w:r>
    </w:p>
    <w:p w14:paraId="5C59AB36"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770A1968" w14:textId="77777777" w:rsidR="0062725F"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intención de compra se reduce, aunque los jóvenes siguen liderando la demanda futura</w:t>
      </w:r>
    </w:p>
    <w:p w14:paraId="597DAAC2"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450CB79B" w14:textId="77777777" w:rsidR="006272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datos muestran que la intención de compra continúa estando estrechamente vinculada a la edad. </w:t>
      </w:r>
      <w:r>
        <w:rPr>
          <w:rFonts w:ascii="Open Sans" w:eastAsia="Open Sans" w:hAnsi="Open Sans" w:cs="Open Sans"/>
          <w:b/>
          <w:bCs/>
        </w:rPr>
        <w:t>Los jóvenes siguen concentrando la mayor parte de la demanda potencial, aunque también empiezan a reflejar una cierta pérdida de impulso respecto al año anterior</w:t>
      </w:r>
      <w:r>
        <w:rPr>
          <w:rFonts w:ascii="Open Sans" w:eastAsia="Open Sans" w:hAnsi="Open Sans" w:cs="Open Sans"/>
        </w:rPr>
        <w:t xml:space="preserve">. Entre quienes tienen de 25 a 34 años y no han participado recientemente en el mercado de compraventa, el 44% prevé comprar una vivienda en los próximos cinco años. Aunque sigue siendo el porcentaje más elevado de todos los grupos de edad, supone un descenso respecto al 48% registrado en el primer semestre de 2025. En el caso de los </w:t>
      </w:r>
      <w:r>
        <w:rPr>
          <w:rFonts w:ascii="Open Sans" w:eastAsia="Open Sans" w:hAnsi="Open Sans" w:cs="Open Sans"/>
        </w:rPr>
        <w:lastRenderedPageBreak/>
        <w:t>jóvenes de entre 18 y 24 años, la intención de compra permanece prácticamente estable. El 38% prevé adquirir una vivienda en un plazo máximo de cinco años, apenas un punto menos que el 39% del año anterior.</w:t>
      </w:r>
    </w:p>
    <w:p w14:paraId="13EC9B10"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770581E9" w14:textId="77777777" w:rsidR="006272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partir de esa edad, las expectativas de compra disminuyen progresivamente. </w:t>
      </w:r>
      <w:r>
        <w:rPr>
          <w:rFonts w:ascii="Open Sans" w:eastAsia="Open Sans" w:hAnsi="Open Sans" w:cs="Open Sans"/>
          <w:b/>
          <w:bCs/>
        </w:rPr>
        <w:t>Conforme aumenta la edad, también se reduce el interés por convertirse en propietario en el medio plazo</w:t>
      </w:r>
      <w:r>
        <w:rPr>
          <w:rFonts w:ascii="Open Sans" w:eastAsia="Open Sans" w:hAnsi="Open Sans" w:cs="Open Sans"/>
        </w:rPr>
        <w:t>, hasta situarse en apenas un 8% entre los mayores de 55 años, frente al 10% registrado un año antes. En términos generales, el estudio refleja un descenso de la intención de compra a corto plazo y una estabilización de las expectativas a medio plazo, una evolución que se reproduce de forma transversal entre los diferentes grupos de edad, aunque con una intensidad diferente.</w:t>
      </w:r>
    </w:p>
    <w:p w14:paraId="2955C454"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5A598795" w14:textId="77777777" w:rsidR="0062725F"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falta de ahorro refuerza su papel como principal barrera de acceso</w:t>
      </w:r>
    </w:p>
    <w:p w14:paraId="37B33A64"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71D3F14E" w14:textId="77777777" w:rsidR="006272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quienes sí tienen intención de comprar una vivienda en un horizonte inferior a cinco años, la falta de ahorro continúa siendo el principal motivo que explica el aplazamiento de la decisión. Además, esta barrera gana peso respecto al año anterior. En el primer semestre de 2026, </w:t>
      </w:r>
      <w:r>
        <w:rPr>
          <w:rFonts w:ascii="Open Sans" w:eastAsia="Open Sans" w:hAnsi="Open Sans" w:cs="Open Sans"/>
          <w:b/>
          <w:bCs/>
        </w:rPr>
        <w:t>el 38% de quienes prevén comprar una vivienda a largo plazo reconoce que no dispone todavía del ahorro suficiente para hacerlo en la actualidad</w:t>
      </w:r>
      <w:r>
        <w:rPr>
          <w:rFonts w:ascii="Open Sans" w:eastAsia="Open Sans" w:hAnsi="Open Sans" w:cs="Open Sans"/>
        </w:rPr>
        <w:t>, dos puntos más que en el mismo periodo de 2025. La segunda razón continúa siendo la situación económica o laboral, mencionada por el 31% de los consultados, aunque este motivo pierde ligeramente relevancia frente al 33% del año anterior.</w:t>
      </w:r>
    </w:p>
    <w:p w14:paraId="6ADD3B83"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44410C4C" w14:textId="77777777" w:rsidR="006272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elevados precios de la vivienda siguen situándose entre los principales obstáculos para acceder a la compra. </w:t>
      </w:r>
      <w:r>
        <w:rPr>
          <w:rFonts w:ascii="Open Sans" w:eastAsia="Open Sans" w:hAnsi="Open Sans" w:cs="Open Sans"/>
          <w:b/>
          <w:bCs/>
        </w:rPr>
        <w:t>El 28% considera que los precios actuales frenan directamente su intención de adquirir un inmueble</w:t>
      </w:r>
      <w:r>
        <w:rPr>
          <w:rFonts w:ascii="Open Sans" w:eastAsia="Open Sans" w:hAnsi="Open Sans" w:cs="Open Sans"/>
        </w:rPr>
        <w:t>, mientras que otro 28% señala que estas valoraciones del mercado quedan fuera de su capacidad económica, un punto más que en 2025. Por el contrario, las condiciones hipotecarias continúan perdiendo protagonismo como barrera para la compra (la encuesta se realizó en febrero de 2026, antes del repunte de los tipos de interés del pasado junio). Solo el 11% de los encuestados las identifica como uno de los principales obstáculos, frente al 13% registrado en el primer semestre de 2025 y muy lejos del 18% observado en 2024.</w:t>
      </w:r>
    </w:p>
    <w:p w14:paraId="0E819541" w14:textId="77777777" w:rsidR="0062725F"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49A0F8B9" wp14:editId="3F72B516">
            <wp:extent cx="5760720" cy="62166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60720" cy="6216650"/>
                    </a:xfrm>
                    <a:prstGeom prst="rect">
                      <a:avLst/>
                    </a:prstGeom>
                    <a:ln/>
                  </pic:spPr>
                </pic:pic>
              </a:graphicData>
            </a:graphic>
          </wp:inline>
        </w:drawing>
      </w:r>
    </w:p>
    <w:p w14:paraId="1C47A9B2"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0445C54B"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03AE877F" w14:textId="77777777" w:rsidR="0062725F" w:rsidRDefault="0062725F">
      <w:pPr>
        <w:pBdr>
          <w:top w:val="nil"/>
          <w:left w:val="nil"/>
          <w:bottom w:val="nil"/>
          <w:right w:val="nil"/>
          <w:between w:val="nil"/>
        </w:pBdr>
        <w:spacing w:line="276" w:lineRule="auto"/>
        <w:jc w:val="both"/>
        <w:rPr>
          <w:rFonts w:ascii="Open Sans" w:eastAsia="Open Sans" w:hAnsi="Open Sans" w:cs="Open Sans"/>
        </w:rPr>
      </w:pPr>
    </w:p>
    <w:p w14:paraId="5990BDEB" w14:textId="77777777" w:rsidR="0062725F"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0D2D5B6" w14:textId="77777777" w:rsidR="0062725F"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35D6BD3" w14:textId="77777777" w:rsidR="0062725F"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Pr>
            <w:rFonts w:ascii="Open Sans" w:eastAsia="Open Sans" w:hAnsi="Open Sans" w:cs="Open Sans"/>
            <w:b/>
            <w:bCs/>
            <w:color w:val="0000FF"/>
            <w:sz w:val="22"/>
            <w:szCs w:val="22"/>
            <w:u w:val="single"/>
          </w:rPr>
          <w:t xml:space="preserve">Fotocasa </w:t>
        </w:r>
        <w:r>
          <w:rPr>
            <w:rFonts w:ascii="Open Sans" w:eastAsia="Open Sans" w:hAnsi="Open Sans" w:cs="Open Sans"/>
            <w:b/>
            <w:bCs/>
            <w:color w:val="0000FF"/>
            <w:sz w:val="22"/>
            <w:szCs w:val="22"/>
            <w:u w:val="single"/>
          </w:rPr>
          <w:lastRenderedPageBreak/>
          <w:t>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1FE6D25" w14:textId="77777777" w:rsidR="0062725F"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58AE0912" w14:textId="77777777" w:rsidR="0062725F" w:rsidRDefault="0062725F">
      <w:pPr>
        <w:spacing w:line="276" w:lineRule="auto"/>
        <w:ind w:right="-284"/>
        <w:rPr>
          <w:rFonts w:ascii="Open Sans Light" w:eastAsia="Open Sans Light" w:hAnsi="Open Sans Light" w:cs="Open Sans Light"/>
          <w:b/>
          <w:bCs/>
          <w:color w:val="303AB2"/>
        </w:rPr>
      </w:pPr>
    </w:p>
    <w:p w14:paraId="279ECF35" w14:textId="77777777" w:rsidR="0062725F"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127FEBAA" w14:textId="77777777" w:rsidR="0062725F"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0809034" w14:textId="77777777" w:rsidR="0062725F"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2">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F29049D" w14:textId="77777777" w:rsidR="0062725F"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3A2E031" w14:textId="77777777" w:rsidR="0062725F" w:rsidRDefault="00000000">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A7F73AB" w14:textId="77777777" w:rsidR="0062725F" w:rsidRDefault="0062725F">
      <w:pPr>
        <w:spacing w:line="276" w:lineRule="auto"/>
        <w:ind w:right="-284"/>
        <w:jc w:val="both"/>
        <w:rPr>
          <w:rFonts w:ascii="Open Sans" w:eastAsia="Open Sans" w:hAnsi="Open Sans" w:cs="Open Sans"/>
          <w:sz w:val="22"/>
          <w:szCs w:val="22"/>
        </w:rPr>
      </w:pPr>
    </w:p>
    <w:p w14:paraId="368545FB" w14:textId="77777777" w:rsidR="0062725F"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31DA8660" w14:textId="77777777" w:rsidR="0062725F" w:rsidRDefault="0062725F">
      <w:pPr>
        <w:pBdr>
          <w:top w:val="nil"/>
          <w:left w:val="nil"/>
          <w:bottom w:val="nil"/>
          <w:right w:val="nil"/>
          <w:between w:val="nil"/>
        </w:pBdr>
        <w:spacing w:line="276" w:lineRule="auto"/>
        <w:ind w:right="-284"/>
        <w:jc w:val="both"/>
        <w:rPr>
          <w:rFonts w:ascii="Open Sans" w:eastAsia="Open Sans" w:hAnsi="Open Sans" w:cs="Open Sans"/>
          <w:sz w:val="22"/>
          <w:szCs w:val="22"/>
        </w:rPr>
      </w:pPr>
    </w:p>
    <w:p w14:paraId="2761E2B3" w14:textId="77777777" w:rsidR="0062725F"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3">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7142ADFD" w14:textId="77777777" w:rsidR="0062725F" w:rsidRDefault="0062725F">
      <w:pPr>
        <w:pBdr>
          <w:top w:val="nil"/>
          <w:left w:val="nil"/>
          <w:bottom w:val="nil"/>
          <w:right w:val="nil"/>
          <w:between w:val="nil"/>
        </w:pBdr>
        <w:spacing w:line="276" w:lineRule="auto"/>
        <w:ind w:right="-284"/>
        <w:jc w:val="both"/>
        <w:rPr>
          <w:rFonts w:ascii="Open Sans" w:eastAsia="Open Sans" w:hAnsi="Open Sans" w:cs="Open Sans"/>
          <w:sz w:val="22"/>
          <w:szCs w:val="22"/>
        </w:rPr>
      </w:pPr>
    </w:p>
    <w:p w14:paraId="2619AF42" w14:textId="77777777" w:rsidR="0062725F"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26543A1" w14:textId="77777777" w:rsidR="0062725F" w:rsidRDefault="0062725F">
      <w:pPr>
        <w:spacing w:line="276" w:lineRule="auto"/>
        <w:ind w:right="-284"/>
        <w:rPr>
          <w:rFonts w:ascii="Open Sans" w:eastAsia="Open Sans" w:hAnsi="Open Sans" w:cs="Open Sans"/>
        </w:rPr>
      </w:pPr>
    </w:p>
    <w:p w14:paraId="41E04A5C" w14:textId="77777777" w:rsidR="0062725F" w:rsidRDefault="0062725F">
      <w:pPr>
        <w:spacing w:line="276" w:lineRule="auto"/>
        <w:ind w:right="-284"/>
        <w:rPr>
          <w:rFonts w:ascii="Open Sans" w:eastAsia="Open Sans" w:hAnsi="Open Sans" w:cs="Open Sans"/>
        </w:rPr>
      </w:pPr>
    </w:p>
    <w:p w14:paraId="54918137" w14:textId="77777777" w:rsidR="0062725F" w:rsidRDefault="0062725F">
      <w:pPr>
        <w:spacing w:line="276" w:lineRule="auto"/>
        <w:ind w:right="-284"/>
        <w:rPr>
          <w:rFonts w:ascii="Open Sans Light" w:eastAsia="Open Sans Light" w:hAnsi="Open Sans Light" w:cs="Open Sans Light"/>
          <w:b/>
          <w:bCs/>
          <w:color w:val="303AB2"/>
          <w:sz w:val="22"/>
          <w:szCs w:val="22"/>
        </w:rPr>
      </w:pPr>
    </w:p>
    <w:p w14:paraId="6D16F3FE" w14:textId="77777777" w:rsidR="0062725F" w:rsidRDefault="00000000">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249B4F63" w14:textId="77777777" w:rsidR="0062725F" w:rsidRDefault="00000000">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5414308" w14:textId="77777777" w:rsidR="0062725F" w:rsidRDefault="00000000">
      <w:pPr>
        <w:shd w:val="clear" w:color="auto" w:fill="FFFFFF"/>
        <w:spacing w:line="276" w:lineRule="auto"/>
        <w:ind w:right="-28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63B58157" w14:textId="77777777" w:rsidR="0062725F" w:rsidRDefault="00000000">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52FD520" w14:textId="77777777" w:rsidR="0062725F" w:rsidRDefault="0062725F">
      <w:pPr>
        <w:spacing w:line="276" w:lineRule="auto"/>
        <w:jc w:val="right"/>
        <w:rPr>
          <w:rFonts w:ascii="Open Sans" w:eastAsia="Open Sans" w:hAnsi="Open Sans" w:cs="Open Sans"/>
          <w:color w:val="000000"/>
          <w:sz w:val="22"/>
          <w:szCs w:val="22"/>
        </w:rPr>
      </w:pPr>
    </w:p>
    <w:sectPr w:rsidR="0062725F">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9A9A6" w14:textId="77777777" w:rsidR="00E94D66" w:rsidRDefault="00E94D66">
      <w:r>
        <w:separator/>
      </w:r>
    </w:p>
  </w:endnote>
  <w:endnote w:type="continuationSeparator" w:id="0">
    <w:p w14:paraId="12559C2A" w14:textId="77777777" w:rsidR="00E94D66" w:rsidRDefault="00E9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7B5C46-BEED-4505-89D8-6353B364DB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5F85DA-F81E-4645-90A8-8C8F9BF40696}"/>
    <w:embedBold r:id="rId3" w:fontKey="{7134CA7B-646E-497F-B644-F0BD7B4973A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78239B9-FD02-47F4-9BD2-673E78D4C6C0}"/>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62E77E47-6861-4885-9604-E2A26D593E8C}"/>
  </w:font>
  <w:font w:name="Open Sans">
    <w:charset w:val="00"/>
    <w:family w:val="swiss"/>
    <w:pitch w:val="variable"/>
    <w:sig w:usb0="E00002EF" w:usb1="4000205B" w:usb2="00000028" w:usb3="00000000" w:csb0="0000019F" w:csb1="00000000"/>
    <w:embedRegular r:id="rId6" w:fontKey="{11FF9E30-3CFB-497F-88BF-3B9667BED8BF}"/>
    <w:embedBold r:id="rId7" w:fontKey="{B600A300-12F7-44E7-9C65-0DAD1E03424F}"/>
  </w:font>
  <w:font w:name="Cambria">
    <w:panose1 w:val="02040503050406030204"/>
    <w:charset w:val="00"/>
    <w:family w:val="roman"/>
    <w:pitch w:val="variable"/>
    <w:sig w:usb0="E00006FF" w:usb1="420024FF" w:usb2="02000000" w:usb3="00000000" w:csb0="0000019F" w:csb1="00000000"/>
    <w:embedRegular r:id="rId8" w:fontKey="{9B37E6F0-AB9D-423A-95EB-7FB66FA83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EB07D" w14:textId="77777777" w:rsidR="0062725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7B99AB0" wp14:editId="467009AF">
          <wp:simplePos x="0" y="0"/>
          <wp:positionH relativeFrom="column">
            <wp:posOffset>-1068040</wp:posOffset>
          </wp:positionH>
          <wp:positionV relativeFrom="paragraph">
            <wp:posOffset>174608</wp:posOffset>
          </wp:positionV>
          <wp:extent cx="7670550" cy="4513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74BD7" w14:textId="77777777" w:rsidR="00E94D66" w:rsidRDefault="00E94D66">
      <w:r>
        <w:separator/>
      </w:r>
    </w:p>
  </w:footnote>
  <w:footnote w:type="continuationSeparator" w:id="0">
    <w:p w14:paraId="0C40711E" w14:textId="77777777" w:rsidR="00E94D66" w:rsidRDefault="00E94D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11F35"/>
    <w:multiLevelType w:val="multilevel"/>
    <w:tmpl w:val="B88C8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5676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25F"/>
    <w:rsid w:val="0062725F"/>
    <w:rsid w:val="00B2762C"/>
    <w:rsid w:val="00C61C4F"/>
    <w:rsid w:val="00E94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BA2DF"/>
  <w15:docId w15:val="{277421A7-0FC1-4F83-B388-0EB0C32A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hyperlink" Target="https://research.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s36360.pcdn.co/wp-content/uploads/2026/05/Informe-Radiografia-sector-inmobiliario-en-2026.pdf"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7ZgBT3uYnhK4Vb0C+WhTkjEqA==">CgMxLjA4AHIhMWRqMERoTGpKWWQ3LXFsLWRCaF82ZUo1UTlBbVI2aEk1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1304</Words>
  <Characters>7435</Characters>
  <Application>Microsoft Office Word</Application>
  <DocSecurity>0</DocSecurity>
  <Lines>61</Lines>
  <Paragraphs>17</Paragraphs>
  <ScaleCrop>false</ScaleCrop>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2026-07-03T12:30:00Z</dcterms:created>
  <dcterms:modified xsi:type="dcterms:W3CDTF">2026-07-03T12:30:00Z</dcterms:modified>
</cp:coreProperties>
</file>