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BD7C2" w14:textId="77777777" w:rsidR="00BF22BD" w:rsidRDefault="00000000">
      <w:r>
        <w:rPr>
          <w:noProof/>
        </w:rPr>
        <w:drawing>
          <wp:anchor distT="0" distB="0" distL="114300" distR="114300" simplePos="0" relativeHeight="251658240" behindDoc="0" locked="0" layoutInCell="1" hidden="0" allowOverlap="1" wp14:anchorId="497BD9DC" wp14:editId="2F61A2CB">
            <wp:simplePos x="0" y="0"/>
            <wp:positionH relativeFrom="column">
              <wp:posOffset>-1080116</wp:posOffset>
            </wp:positionH>
            <wp:positionV relativeFrom="paragraph">
              <wp:posOffset>-654665</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2510A2A" w14:textId="77777777" w:rsidR="00BF22BD" w:rsidRDefault="00BF22BD">
      <w:pPr>
        <w:jc w:val="right"/>
        <w:rPr>
          <w:rFonts w:ascii="National" w:eastAsia="National" w:hAnsi="National" w:cs="National"/>
          <w:color w:val="303AB2"/>
          <w:sz w:val="36"/>
          <w:szCs w:val="36"/>
        </w:rPr>
      </w:pPr>
    </w:p>
    <w:p w14:paraId="19FFBB30" w14:textId="77777777" w:rsidR="00BF22BD" w:rsidRDefault="00BF22BD">
      <w:pPr>
        <w:rPr>
          <w:rFonts w:ascii="National" w:eastAsia="National" w:hAnsi="National" w:cs="National"/>
          <w:color w:val="303AB2"/>
          <w:sz w:val="18"/>
          <w:szCs w:val="18"/>
        </w:rPr>
      </w:pPr>
    </w:p>
    <w:p w14:paraId="02BCD052" w14:textId="4D7C7CC6" w:rsidR="00BF22BD" w:rsidRDefault="00000000">
      <w:pPr>
        <w:pBdr>
          <w:top w:val="nil"/>
          <w:left w:val="nil"/>
          <w:bottom w:val="nil"/>
          <w:right w:val="nil"/>
          <w:between w:val="nil"/>
        </w:pBdr>
        <w:spacing w:line="276" w:lineRule="auto"/>
        <w:ind w:left="1080"/>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2026</w:t>
      </w:r>
    </w:p>
    <w:p w14:paraId="20908FE4" w14:textId="55413322" w:rsidR="00BF22BD" w:rsidRDefault="00000000">
      <w:pPr>
        <w:pBdr>
          <w:top w:val="nil"/>
          <w:left w:val="nil"/>
          <w:bottom w:val="nil"/>
          <w:right w:val="nil"/>
          <w:between w:val="nil"/>
        </w:pBdr>
        <w:spacing w:line="276" w:lineRule="auto"/>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 xml:space="preserve">El alquiler pierde la batalla: el 71% de </w:t>
      </w:r>
      <w:r w:rsidR="00A11CCA">
        <w:rPr>
          <w:rFonts w:ascii="National" w:eastAsia="National" w:hAnsi="National" w:cs="National"/>
          <w:b/>
          <w:bCs/>
          <w:color w:val="303AB2"/>
          <w:sz w:val="46"/>
          <w:szCs w:val="46"/>
        </w:rPr>
        <w:t xml:space="preserve">los </w:t>
      </w:r>
      <w:r>
        <w:rPr>
          <w:rFonts w:ascii="National" w:eastAsia="National" w:hAnsi="National" w:cs="National"/>
          <w:b/>
          <w:bCs/>
          <w:color w:val="303AB2"/>
          <w:sz w:val="46"/>
          <w:szCs w:val="46"/>
        </w:rPr>
        <w:t>españoles asegura que compensa más pagar una hipoteca</w:t>
      </w:r>
    </w:p>
    <w:p w14:paraId="3DB5B7EF" w14:textId="77777777" w:rsidR="00A11CCA" w:rsidRDefault="00A11CCA" w:rsidP="00A11CCA">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4ECD6D9" w14:textId="41538F85" w:rsidR="00BF22B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68 % considera que comprar una vivienda sigue siendo una buena inversión, aunque desciende el peso del sentimiento de propiedad entre los españoles</w:t>
      </w:r>
    </w:p>
    <w:p w14:paraId="6CFB3C70" w14:textId="77777777" w:rsidR="00BF22B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Aumenta la percepción de que se aproxima una nueva burbuja en el mercado inmobiliario</w:t>
      </w:r>
    </w:p>
    <w:p w14:paraId="7D4A8D52" w14:textId="77777777" w:rsidR="00BF22B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mitad de los particulares continúa pensando que vivir de alquiler es "tirar el dinero" y el respaldo a la Ley de Vivienda sigue siendo minoritario</w:t>
      </w:r>
    </w:p>
    <w:p w14:paraId="301C6DB7" w14:textId="77777777" w:rsidR="00BF22BD" w:rsidRDefault="00BF22BD">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4DA9C0C0" w14:textId="77777777" w:rsidR="00BF22BD"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22 de julio de 2026</w:t>
      </w:r>
      <w:r>
        <w:rPr>
          <w:rFonts w:ascii="Open Sans Light" w:eastAsia="Open Sans Light" w:hAnsi="Open Sans Light" w:cs="Open Sans Light"/>
          <w:b/>
          <w:bCs/>
          <w:color w:val="303AB2"/>
        </w:rPr>
        <w:tab/>
      </w:r>
    </w:p>
    <w:p w14:paraId="0454533B" w14:textId="77777777" w:rsidR="00BF22BD" w:rsidRDefault="00BF22BD">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209AADE" w14:textId="77777777" w:rsidR="00BF22B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escalada de los precios del alquiler está consolidando un cambio de percepción entre quienes participan en el mercado residencial. Ya son siete de cada diez los particulares que consideran que, con los niveles actuales de las rentas, resulta más rentable pagar una hipoteca que alquilar una vivienda. Esta es la opinión más compartida entre quienes han realizado alguna acción en el mercado de la vivienda durante el último año, </w:t>
      </w:r>
      <w:r>
        <w:rPr>
          <w:rFonts w:ascii="Open Sans" w:eastAsia="Open Sans" w:hAnsi="Open Sans" w:cs="Open Sans"/>
          <w:b/>
          <w:bCs/>
        </w:rPr>
        <w:t xml:space="preserve">según los datos del informe </w:t>
      </w:r>
      <w:hyperlink r:id="rId9">
        <w:r>
          <w:rPr>
            <w:rFonts w:ascii="Open Sans" w:eastAsia="Open Sans" w:hAnsi="Open Sans" w:cs="Open Sans"/>
            <w:b/>
            <w:bCs/>
            <w:color w:val="0000FF"/>
            <w:u w:val="single"/>
          </w:rPr>
          <w:t>”Radiografía del mercado de la vivienda en 2026”</w:t>
        </w:r>
      </w:hyperlink>
      <w:r>
        <w:rPr>
          <w:rFonts w:ascii="Open Sans" w:eastAsia="Open Sans" w:hAnsi="Open Sans" w:cs="Open Sans"/>
          <w:b/>
          <w:bCs/>
        </w:rPr>
        <w:t xml:space="preserve">, elaborado por </w:t>
      </w:r>
      <w:hyperlink r:id="rId10">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rPr>
          <w:rFonts w:ascii="Open Sans" w:eastAsia="Open Sans" w:hAnsi="Open Sans" w:cs="Open Sans"/>
          <w:b/>
          <w:bCs/>
        </w:rPr>
        <w:t xml:space="preserve">. </w:t>
      </w:r>
      <w:r>
        <w:rPr>
          <w:rFonts w:ascii="Open Sans" w:eastAsia="Open Sans" w:hAnsi="Open Sans" w:cs="Open Sans"/>
        </w:rPr>
        <w:t>La encuesta se realizó en febrero de 2026, antes del repunte de los tipos de interés producido el pasado mes de junio. Por ello, los resultados reflejan la sostenida relajación de los tipos de interés y su efecto sobre el mercado hipotecario durante el bienio 2023-2025, así como el progresivo encarecimiento del alquiler registrado en este periodo. El posible impacto del reciente cambio de política monetaria del BCE sobre estas percepciones deberá analizarse en futuros estudios.</w:t>
      </w:r>
    </w:p>
    <w:p w14:paraId="37ECD579" w14:textId="77777777" w:rsidR="00BF22BD" w:rsidRDefault="00BF22BD">
      <w:pPr>
        <w:pBdr>
          <w:top w:val="nil"/>
          <w:left w:val="nil"/>
          <w:bottom w:val="nil"/>
          <w:right w:val="nil"/>
          <w:between w:val="nil"/>
        </w:pBdr>
        <w:spacing w:line="276" w:lineRule="auto"/>
        <w:jc w:val="both"/>
        <w:rPr>
          <w:rFonts w:ascii="Open Sans" w:eastAsia="Open Sans" w:hAnsi="Open Sans" w:cs="Open Sans"/>
        </w:rPr>
      </w:pPr>
    </w:p>
    <w:p w14:paraId="13C66019" w14:textId="77777777" w:rsidR="00BF22BD"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fuerte encarecimiento del alquiler está provocando un cambio de percepción entre los ciudadanos. Aunque acceder a una vivienda en propiedad sigue siendo complicado por la falta de ahorro y el elevado precio de compra, cada vez son más quienes consideran que, si tienen capacidad para dar el paso, pagar una hipoteca </w:t>
      </w:r>
      <w:r>
        <w:rPr>
          <w:rFonts w:ascii="Open Sans" w:eastAsia="Open Sans" w:hAnsi="Open Sans" w:cs="Open Sans"/>
        </w:rPr>
        <w:lastRenderedPageBreak/>
        <w:t xml:space="preserve">resulta una opción más rentable que destinar una renta mensual a un alquiler que no deja de encarecerse. Esta percepción refleja el enorme desequilibrio que vive actualmente el mercado del arrendamiento", </w:t>
      </w:r>
      <w:r>
        <w:rPr>
          <w:rFonts w:ascii="Open Sans" w:eastAsia="Open Sans" w:hAnsi="Open Sans" w:cs="Open Sans"/>
          <w:b/>
          <w:bCs/>
        </w:rPr>
        <w:t xml:space="preserve">explica María Matos, directora de Estudios y portavoz de </w:t>
      </w:r>
      <w:hyperlink r:id="rId11">
        <w:r>
          <w:rPr>
            <w:rFonts w:ascii="Open Sans" w:eastAsia="Open Sans" w:hAnsi="Open Sans" w:cs="Open Sans"/>
            <w:b/>
            <w:bCs/>
            <w:color w:val="0000FF"/>
            <w:u w:val="single"/>
          </w:rPr>
          <w:t>Fotocasa</w:t>
        </w:r>
      </w:hyperlink>
      <w:r>
        <w:rPr>
          <w:rFonts w:ascii="Open Sans" w:eastAsia="Open Sans" w:hAnsi="Open Sans" w:cs="Open Sans"/>
          <w:b/>
          <w:bCs/>
        </w:rPr>
        <w:t>.</w:t>
      </w:r>
    </w:p>
    <w:p w14:paraId="3C614A17" w14:textId="77777777" w:rsidR="00BF22BD" w:rsidRDefault="00BF22BD">
      <w:pPr>
        <w:pBdr>
          <w:top w:val="nil"/>
          <w:left w:val="nil"/>
          <w:bottom w:val="nil"/>
          <w:right w:val="nil"/>
          <w:between w:val="nil"/>
        </w:pBdr>
        <w:spacing w:line="276" w:lineRule="auto"/>
        <w:jc w:val="both"/>
        <w:rPr>
          <w:rFonts w:ascii="Open Sans" w:eastAsia="Open Sans" w:hAnsi="Open Sans" w:cs="Open Sans"/>
          <w:b/>
          <w:bCs/>
        </w:rPr>
      </w:pPr>
    </w:p>
    <w:p w14:paraId="7B64383B" w14:textId="77777777" w:rsidR="00BF22BD"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4FAEFF5E" wp14:editId="078786C7">
            <wp:extent cx="5760720" cy="474408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60720" cy="4744085"/>
                    </a:xfrm>
                    <a:prstGeom prst="rect">
                      <a:avLst/>
                    </a:prstGeom>
                    <a:ln/>
                  </pic:spPr>
                </pic:pic>
              </a:graphicData>
            </a:graphic>
          </wp:inline>
        </w:drawing>
      </w:r>
    </w:p>
    <w:p w14:paraId="4ECE3481" w14:textId="77777777" w:rsidR="00BF22BD" w:rsidRDefault="00BF22BD">
      <w:pPr>
        <w:pBdr>
          <w:top w:val="nil"/>
          <w:left w:val="nil"/>
          <w:bottom w:val="nil"/>
          <w:right w:val="nil"/>
          <w:between w:val="nil"/>
        </w:pBdr>
        <w:spacing w:line="276" w:lineRule="auto"/>
        <w:jc w:val="both"/>
        <w:rPr>
          <w:rFonts w:ascii="Open Sans" w:eastAsia="Open Sans" w:hAnsi="Open Sans" w:cs="Open Sans"/>
        </w:rPr>
      </w:pPr>
    </w:p>
    <w:p w14:paraId="57C1297B" w14:textId="77777777" w:rsidR="00BF22BD"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situación del alquiler impulsa la preferencia por la compra</w:t>
      </w:r>
    </w:p>
    <w:p w14:paraId="28612DC0" w14:textId="77777777" w:rsidR="00BF22BD" w:rsidRDefault="00BF22BD">
      <w:pPr>
        <w:pBdr>
          <w:top w:val="nil"/>
          <w:left w:val="nil"/>
          <w:bottom w:val="nil"/>
          <w:right w:val="nil"/>
          <w:between w:val="nil"/>
        </w:pBdr>
        <w:spacing w:line="276" w:lineRule="auto"/>
        <w:jc w:val="both"/>
        <w:rPr>
          <w:rFonts w:ascii="Open Sans" w:eastAsia="Open Sans" w:hAnsi="Open Sans" w:cs="Open Sans"/>
        </w:rPr>
      </w:pPr>
    </w:p>
    <w:p w14:paraId="3324DEF7" w14:textId="77777777" w:rsidR="00BF22B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Exactamente, el 71% de los particulares activos en el mercado inmobiliario considera que, con los precios actuales del alquiler, resulta más rentable pagar una hipoteca para adquirir una vivienda. Se trata de la opinión con mayor consenso de toda la encuesta y mejora ligeramente respecto al primer semestre de 2025, cuando era compartida por el 70% de los consultados. Además, obtiene una valoración media de 7,6 sobre 10, la más elevada entre todas las afirmaciones analizadas. Esta percepción viene acompañada de otra conclusión igualmente consolidada: </w:t>
      </w:r>
      <w:r>
        <w:rPr>
          <w:rFonts w:ascii="Open Sans" w:eastAsia="Open Sans" w:hAnsi="Open Sans" w:cs="Open Sans"/>
          <w:b/>
          <w:bCs/>
        </w:rPr>
        <w:t>el 68% de los encuestados considera que comprar una vivienda sigue siendo una buena inversión</w:t>
      </w:r>
      <w:r>
        <w:rPr>
          <w:rFonts w:ascii="Open Sans" w:eastAsia="Open Sans" w:hAnsi="Open Sans" w:cs="Open Sans"/>
        </w:rPr>
        <w:t xml:space="preserve">, una afirmación que alcanza una valoración </w:t>
      </w:r>
      <w:r>
        <w:rPr>
          <w:rFonts w:ascii="Open Sans" w:eastAsia="Open Sans" w:hAnsi="Open Sans" w:cs="Open Sans"/>
        </w:rPr>
        <w:lastRenderedPageBreak/>
        <w:t>de 7,2 puntos sobre diez. En esa misma línea, otro 68% sostiene que el sentimiento de propiedad continúa muy arraigado entre los españoles. Sin embargo, esta convicción pierde fuerza respecto al primer semestre de 2025, cuando era compartida por el 72% de los particulares.</w:t>
      </w:r>
    </w:p>
    <w:p w14:paraId="288A76C2" w14:textId="77777777" w:rsidR="00BF22BD" w:rsidRDefault="00BF22BD">
      <w:pPr>
        <w:pBdr>
          <w:top w:val="nil"/>
          <w:left w:val="nil"/>
          <w:bottom w:val="nil"/>
          <w:right w:val="nil"/>
          <w:between w:val="nil"/>
        </w:pBdr>
        <w:spacing w:line="276" w:lineRule="auto"/>
        <w:jc w:val="both"/>
        <w:rPr>
          <w:rFonts w:ascii="Open Sans" w:eastAsia="Open Sans" w:hAnsi="Open Sans" w:cs="Open Sans"/>
        </w:rPr>
      </w:pPr>
    </w:p>
    <w:p w14:paraId="62FABFD3" w14:textId="77777777" w:rsidR="00BF22BD"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Aumenta el temor a una nueva burbuja</w:t>
      </w:r>
    </w:p>
    <w:p w14:paraId="489DE934" w14:textId="77777777" w:rsidR="00BF22BD" w:rsidRDefault="00BF22BD">
      <w:pPr>
        <w:pBdr>
          <w:top w:val="nil"/>
          <w:left w:val="nil"/>
          <w:bottom w:val="nil"/>
          <w:right w:val="nil"/>
          <w:between w:val="nil"/>
        </w:pBdr>
        <w:spacing w:line="276" w:lineRule="auto"/>
        <w:jc w:val="both"/>
        <w:rPr>
          <w:rFonts w:ascii="Open Sans" w:eastAsia="Open Sans" w:hAnsi="Open Sans" w:cs="Open Sans"/>
        </w:rPr>
      </w:pPr>
    </w:p>
    <w:p w14:paraId="6D084AC7" w14:textId="77777777" w:rsidR="00BF22B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las opiniones más extendidas también figura la consideración de que una vivienda constituye la mejor herencia que puede dejarse a los hijos. Así lo afirma el 59% de los particulares, aunque el respaldo desciende ligeramente respecto al 61% registrado en el primer semestre de 2025. La valoración de esta afirmación también retrocede, pasando de 6,8 a 6,7 puntos. En paralelo, </w:t>
      </w:r>
      <w:r>
        <w:rPr>
          <w:rFonts w:ascii="Open Sans" w:eastAsia="Open Sans" w:hAnsi="Open Sans" w:cs="Open Sans"/>
          <w:b/>
          <w:bCs/>
        </w:rPr>
        <w:t>crece la percepción de que el mercado podría dirigirse hacia una nueva burbuja inmobiliaria</w:t>
      </w:r>
      <w:r>
        <w:rPr>
          <w:rFonts w:ascii="Open Sans" w:eastAsia="Open Sans" w:hAnsi="Open Sans" w:cs="Open Sans"/>
        </w:rPr>
        <w:t>. Esta preocupación ya es compartida por el 56% de los encuestados, frente al 54% del primer semestre de 2025, manteniendo una valoración de 6,6 puntos sobre diez.</w:t>
      </w:r>
    </w:p>
    <w:p w14:paraId="72299ACB" w14:textId="77777777" w:rsidR="00BF22BD" w:rsidRDefault="00BF22BD">
      <w:pPr>
        <w:pBdr>
          <w:top w:val="nil"/>
          <w:left w:val="nil"/>
          <w:bottom w:val="nil"/>
          <w:right w:val="nil"/>
          <w:between w:val="nil"/>
        </w:pBdr>
        <w:spacing w:line="276" w:lineRule="auto"/>
        <w:jc w:val="both"/>
        <w:rPr>
          <w:rFonts w:ascii="Open Sans" w:eastAsia="Open Sans" w:hAnsi="Open Sans" w:cs="Open Sans"/>
        </w:rPr>
      </w:pPr>
    </w:p>
    <w:p w14:paraId="41244A2B" w14:textId="77777777" w:rsidR="00BF22B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percepción negativa sobre el alquiler permanece estable. La mitad de los particulares activos en el mercado considera que vivir de alquiler es "tirar el dinero", exactamente el mismo porcentaje registrado un año antes, con una valoración de 6,3 puntos sobre diez. Al mismo tiempo, pierde ligeramente fuerza la idea de que el mercado evolucionará hacia un mayor peso del alquiler frente a la compra. Esta opinión pasa del 41% al 40% entre el primer semestre de 2025 y el mismo periodo de 2026, mientras que su valoración desciende de 5,8 a 5,7 puntos. </w:t>
      </w:r>
      <w:r>
        <w:rPr>
          <w:rFonts w:ascii="Open Sans" w:eastAsia="Open Sans" w:hAnsi="Open Sans" w:cs="Open Sans"/>
          <w:b/>
          <w:bCs/>
        </w:rPr>
        <w:t>Respecto a la Ley de Vivienda, la valoración continúa siendo negativa</w:t>
      </w:r>
      <w:r>
        <w:rPr>
          <w:rFonts w:ascii="Open Sans" w:eastAsia="Open Sans" w:hAnsi="Open Sans" w:cs="Open Sans"/>
        </w:rPr>
        <w:t>. El porcentaje de particulares que aprueba esta normativa aumenta ligeramente, pasando del 27% en el primer semestre de 2025 al 28% en 2026. Sin embargo, la puntuación media permanece sin cambios, situándose en 4,7 puntos sobre diez.</w:t>
      </w:r>
    </w:p>
    <w:p w14:paraId="283E272B" w14:textId="77777777" w:rsidR="00BF22BD" w:rsidRDefault="00BF22BD">
      <w:pPr>
        <w:pBdr>
          <w:top w:val="nil"/>
          <w:left w:val="nil"/>
          <w:bottom w:val="nil"/>
          <w:right w:val="nil"/>
          <w:between w:val="nil"/>
        </w:pBdr>
        <w:spacing w:line="276" w:lineRule="auto"/>
        <w:jc w:val="both"/>
        <w:rPr>
          <w:rFonts w:ascii="Open Sans" w:eastAsia="Open Sans" w:hAnsi="Open Sans" w:cs="Open Sans"/>
        </w:rPr>
      </w:pPr>
    </w:p>
    <w:p w14:paraId="73716466" w14:textId="77777777" w:rsidR="00BF22BD" w:rsidRDefault="00BF22BD">
      <w:pPr>
        <w:pBdr>
          <w:top w:val="nil"/>
          <w:left w:val="nil"/>
          <w:bottom w:val="nil"/>
          <w:right w:val="nil"/>
          <w:between w:val="nil"/>
        </w:pBdr>
        <w:spacing w:line="276" w:lineRule="auto"/>
        <w:jc w:val="both"/>
        <w:rPr>
          <w:rFonts w:ascii="Open Sans" w:eastAsia="Open Sans" w:hAnsi="Open Sans" w:cs="Open Sans"/>
        </w:rPr>
      </w:pPr>
    </w:p>
    <w:p w14:paraId="60259DB4" w14:textId="77777777" w:rsidR="00BF22BD" w:rsidRDefault="00000000" w:rsidP="00A11CCA">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E1FFDF3" w14:textId="77777777" w:rsidR="00BF22BD" w:rsidRDefault="00000000" w:rsidP="00A11CC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4C5E1AE9" w14:textId="77777777" w:rsidR="00BF22BD" w:rsidRDefault="00000000" w:rsidP="00A11CC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w:t>
      </w:r>
      <w:r>
        <w:rPr>
          <w:rFonts w:ascii="Open Sans" w:eastAsia="Open Sans" w:hAnsi="Open Sans" w:cs="Open Sans"/>
          <w:sz w:val="22"/>
          <w:szCs w:val="22"/>
        </w:rPr>
        <w:lastRenderedPageBreak/>
        <w:t xml:space="preserve">alquiler. Desde 2017, desarrolla además estudios sociológicos bajo el sello </w:t>
      </w:r>
      <w:hyperlink r:id="rId14">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13B28FF" w14:textId="77777777" w:rsidR="00BF22BD" w:rsidRDefault="00000000" w:rsidP="00A11CC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65A09BFF" w14:textId="77777777" w:rsidR="00BF22BD" w:rsidRDefault="00BF22BD" w:rsidP="00A11CCA">
      <w:pPr>
        <w:spacing w:line="276" w:lineRule="auto"/>
        <w:rPr>
          <w:rFonts w:ascii="Open Sans Light" w:eastAsia="Open Sans Light" w:hAnsi="Open Sans Light" w:cs="Open Sans Light"/>
          <w:b/>
          <w:bCs/>
          <w:color w:val="303AB2"/>
        </w:rPr>
      </w:pPr>
    </w:p>
    <w:p w14:paraId="5D8D6BEA" w14:textId="77777777" w:rsidR="00BF22BD" w:rsidRDefault="00000000" w:rsidP="00A11CCA">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1571C787" w14:textId="77777777" w:rsidR="00BF22BD" w:rsidRDefault="00000000" w:rsidP="00A11CC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49003F83" w14:textId="77777777" w:rsidR="00BF22BD" w:rsidRDefault="00000000" w:rsidP="00A11CC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1">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29916AA5" w14:textId="77777777" w:rsidR="00BF22BD" w:rsidRDefault="00000000" w:rsidP="00A11CC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AB4FE8D" w14:textId="77777777" w:rsidR="00BF22BD" w:rsidRDefault="00000000" w:rsidP="00A11CCA">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1C96536C" w14:textId="77777777" w:rsidR="00BF22BD" w:rsidRDefault="00BF22BD" w:rsidP="00A11CCA">
      <w:pPr>
        <w:spacing w:line="276" w:lineRule="auto"/>
        <w:jc w:val="both"/>
        <w:rPr>
          <w:rFonts w:ascii="Open Sans" w:eastAsia="Open Sans" w:hAnsi="Open Sans" w:cs="Open Sans"/>
          <w:sz w:val="22"/>
          <w:szCs w:val="22"/>
        </w:rPr>
      </w:pPr>
    </w:p>
    <w:p w14:paraId="4E0B14CD" w14:textId="77777777" w:rsidR="00BF22BD" w:rsidRDefault="00000000" w:rsidP="00A11CCA">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1A29C9A7" w14:textId="77777777" w:rsidR="00BF22BD" w:rsidRDefault="00BF22BD" w:rsidP="00A11CCA">
      <w:pPr>
        <w:pBdr>
          <w:top w:val="nil"/>
          <w:left w:val="nil"/>
          <w:bottom w:val="nil"/>
          <w:right w:val="nil"/>
          <w:between w:val="nil"/>
        </w:pBdr>
        <w:spacing w:line="276" w:lineRule="auto"/>
        <w:jc w:val="both"/>
        <w:rPr>
          <w:rFonts w:ascii="Open Sans" w:eastAsia="Open Sans" w:hAnsi="Open Sans" w:cs="Open Sans"/>
          <w:sz w:val="22"/>
          <w:szCs w:val="22"/>
        </w:rPr>
      </w:pPr>
    </w:p>
    <w:p w14:paraId="5029C297" w14:textId="77777777" w:rsidR="00BF22BD" w:rsidRDefault="00000000" w:rsidP="00A11CCA">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2">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6D1AFA29" w14:textId="77777777" w:rsidR="00BF22BD" w:rsidRDefault="00BF22BD" w:rsidP="00A11CCA">
      <w:pPr>
        <w:pBdr>
          <w:top w:val="nil"/>
          <w:left w:val="nil"/>
          <w:bottom w:val="nil"/>
          <w:right w:val="nil"/>
          <w:between w:val="nil"/>
        </w:pBdr>
        <w:spacing w:line="276" w:lineRule="auto"/>
        <w:jc w:val="both"/>
        <w:rPr>
          <w:rFonts w:ascii="Open Sans" w:eastAsia="Open Sans" w:hAnsi="Open Sans" w:cs="Open Sans"/>
          <w:sz w:val="22"/>
          <w:szCs w:val="22"/>
        </w:rPr>
      </w:pPr>
    </w:p>
    <w:p w14:paraId="3EFBF8E5" w14:textId="77777777" w:rsidR="00BF22BD" w:rsidRDefault="00000000" w:rsidP="00A11CCA">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638848B9" w14:textId="77777777" w:rsidR="00BF22BD" w:rsidRDefault="00BF22BD" w:rsidP="00A11CCA">
      <w:pPr>
        <w:spacing w:line="276" w:lineRule="auto"/>
        <w:rPr>
          <w:rFonts w:ascii="Open Sans" w:eastAsia="Open Sans" w:hAnsi="Open Sans" w:cs="Open Sans"/>
        </w:rPr>
      </w:pPr>
    </w:p>
    <w:p w14:paraId="7E5AD1BF" w14:textId="77777777" w:rsidR="00BF22BD" w:rsidRDefault="00000000" w:rsidP="00A11CCA">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7D2D85D8" w14:textId="77777777" w:rsidR="00BF22BD" w:rsidRDefault="00000000" w:rsidP="00A11CCA">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56749A3E" w14:textId="77777777" w:rsidR="00BF22BD" w:rsidRDefault="00000000" w:rsidP="00A11CCA">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524E1038" w14:textId="77777777" w:rsidR="00BF22BD" w:rsidRDefault="00000000" w:rsidP="00A11CCA">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7D10A11" w14:textId="77777777" w:rsidR="00BF22BD" w:rsidRDefault="00BF22BD">
      <w:pPr>
        <w:spacing w:line="276" w:lineRule="auto"/>
        <w:jc w:val="right"/>
        <w:rPr>
          <w:rFonts w:ascii="Open Sans" w:eastAsia="Open Sans" w:hAnsi="Open Sans" w:cs="Open Sans"/>
          <w:color w:val="000000"/>
          <w:sz w:val="22"/>
          <w:szCs w:val="22"/>
        </w:rPr>
      </w:pPr>
    </w:p>
    <w:sectPr w:rsidR="00BF22BD">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96949" w14:textId="77777777" w:rsidR="00F71785" w:rsidRDefault="00F71785">
      <w:r>
        <w:separator/>
      </w:r>
    </w:p>
  </w:endnote>
  <w:endnote w:type="continuationSeparator" w:id="0">
    <w:p w14:paraId="4634C406" w14:textId="77777777" w:rsidR="00F71785" w:rsidRDefault="00F71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C299322-3F35-4A7B-81A8-647F43F02C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F2DA10-3995-4356-8A2C-7AD787E0AAA8}"/>
    <w:embedBold r:id="rId3" w:fontKey="{7125A1AA-4955-4835-A3FE-2CF4B89944E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B1690C5-C928-4DEC-9826-7D341017B839}"/>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FC818077-4EA2-4F76-BA95-322E7AD36723}"/>
  </w:font>
  <w:font w:name="Open Sans">
    <w:charset w:val="00"/>
    <w:family w:val="swiss"/>
    <w:pitch w:val="variable"/>
    <w:sig w:usb0="E00002EF" w:usb1="4000205B" w:usb2="00000028" w:usb3="00000000" w:csb0="0000019F" w:csb1="00000000"/>
    <w:embedRegular r:id="rId6" w:fontKey="{C5A58619-2869-4B02-9947-0E471F582117}"/>
    <w:embedBold r:id="rId7" w:fontKey="{643C4815-0EEC-4D91-9D0A-1A727C9DA504}"/>
  </w:font>
  <w:font w:name="Cambria">
    <w:panose1 w:val="02040503050406030204"/>
    <w:charset w:val="00"/>
    <w:family w:val="roman"/>
    <w:pitch w:val="variable"/>
    <w:sig w:usb0="E00006FF" w:usb1="420024FF" w:usb2="02000000" w:usb3="00000000" w:csb0="0000019F" w:csb1="00000000"/>
    <w:embedRegular r:id="rId8" w:fontKey="{E9A3D229-F4C8-46D0-88AD-904DC3C83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6973" w14:textId="77777777" w:rsidR="00BF22B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BD11CEF" wp14:editId="205004AC">
          <wp:simplePos x="0" y="0"/>
          <wp:positionH relativeFrom="column">
            <wp:posOffset>-1068040</wp:posOffset>
          </wp:positionH>
          <wp:positionV relativeFrom="paragraph">
            <wp:posOffset>174608</wp:posOffset>
          </wp:positionV>
          <wp:extent cx="7670550" cy="45131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00BEC" w14:textId="77777777" w:rsidR="00F71785" w:rsidRDefault="00F71785">
      <w:r>
        <w:separator/>
      </w:r>
    </w:p>
  </w:footnote>
  <w:footnote w:type="continuationSeparator" w:id="0">
    <w:p w14:paraId="5534329F" w14:textId="77777777" w:rsidR="00F71785" w:rsidRDefault="00F717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65531"/>
    <w:multiLevelType w:val="multilevel"/>
    <w:tmpl w:val="8AF8E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0855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2BD"/>
    <w:rsid w:val="00A11CCA"/>
    <w:rsid w:val="00BF22BD"/>
    <w:rsid w:val="00F71785"/>
    <w:rsid w:val="00FE0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A7317"/>
  <w15:docId w15:val="{6D287617-10A6-481D-AA1C-9CCF73CBC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https://s36360.pcdn.co/wp-content/uploads/2026/05/Informe-Radiografia-sector-inmobiliario-en-2026.pdf" TargetMode="External"/><Relationship Id="rId14" Type="http://schemas.openxmlformats.org/officeDocument/2006/relationships/hyperlink" Target="https://www.research.fotocasa.es" TargetMode="External"/><Relationship Id="rId22" Type="http://schemas.openxmlformats.org/officeDocument/2006/relationships/hyperlink" Target="https://www.immobilienscout24.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kFW1MtD4TqpoTMZcqRCQWuWoQ==">CgMxLjA4AHIhMTFTV2NXWTFQSXNwWElDX1RnM0NQcUVTNDAyUjVXWFlO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1197</Words>
  <Characters>6823</Characters>
  <Application>Microsoft Office Word</Application>
  <DocSecurity>0</DocSecurity>
  <Lines>56</Lines>
  <Paragraphs>16</Paragraphs>
  <ScaleCrop>false</ScaleCrop>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2026-07-04T13:35:00Z</dcterms:created>
  <dcterms:modified xsi:type="dcterms:W3CDTF">2026-07-04T13:36:00Z</dcterms:modified>
</cp:coreProperties>
</file>