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A90CF" w14:textId="77777777" w:rsidR="005635B5" w:rsidRDefault="00000000">
      <w:r>
        <w:rPr>
          <w:noProof/>
        </w:rPr>
        <w:drawing>
          <wp:anchor distT="0" distB="0" distL="114300" distR="114300" simplePos="0" relativeHeight="251658240" behindDoc="0" locked="0" layoutInCell="1" hidden="0" allowOverlap="1" wp14:anchorId="24328173" wp14:editId="409CD399">
            <wp:simplePos x="0" y="0"/>
            <wp:positionH relativeFrom="column">
              <wp:posOffset>-1080116</wp:posOffset>
            </wp:positionH>
            <wp:positionV relativeFrom="paragraph">
              <wp:posOffset>-654665</wp:posOffset>
            </wp:positionV>
            <wp:extent cx="7581265" cy="1019175"/>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2B21556" w14:textId="77777777" w:rsidR="005635B5" w:rsidRDefault="005635B5">
      <w:pPr>
        <w:jc w:val="right"/>
        <w:rPr>
          <w:rFonts w:ascii="National" w:eastAsia="National" w:hAnsi="National" w:cs="National"/>
          <w:color w:val="303AB2"/>
          <w:sz w:val="36"/>
          <w:szCs w:val="36"/>
        </w:rPr>
      </w:pPr>
    </w:p>
    <w:p w14:paraId="64E970A9" w14:textId="77777777" w:rsidR="005635B5" w:rsidRDefault="005635B5">
      <w:pPr>
        <w:rPr>
          <w:rFonts w:ascii="National" w:eastAsia="National" w:hAnsi="National" w:cs="National"/>
          <w:color w:val="303AB2"/>
          <w:sz w:val="18"/>
          <w:szCs w:val="18"/>
        </w:rPr>
      </w:pPr>
    </w:p>
    <w:p w14:paraId="6A93FD3A" w14:textId="77777777" w:rsidR="005635B5" w:rsidRDefault="005635B5">
      <w:pPr>
        <w:jc w:val="center"/>
        <w:rPr>
          <w:rFonts w:ascii="National" w:eastAsia="National" w:hAnsi="National" w:cs="National"/>
          <w:b/>
          <w:bCs/>
          <w:color w:val="1DBDC5"/>
          <w:sz w:val="34"/>
          <w:szCs w:val="34"/>
        </w:rPr>
      </w:pPr>
    </w:p>
    <w:p w14:paraId="4A66813F" w14:textId="77777777" w:rsidR="005635B5"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PERFIL DEL COMPRADOR DE SEGUNDA RESIDENCIA EN 2026</w:t>
      </w:r>
    </w:p>
    <w:p w14:paraId="59792C4C" w14:textId="77777777" w:rsidR="005635B5" w:rsidRDefault="00000000">
      <w:pPr>
        <w:pBdr>
          <w:top w:val="nil"/>
          <w:left w:val="nil"/>
          <w:bottom w:val="nil"/>
          <w:right w:val="nil"/>
          <w:between w:val="nil"/>
        </w:pBdr>
        <w:spacing w:line="276" w:lineRule="auto"/>
        <w:jc w:val="center"/>
        <w:rPr>
          <w:rFonts w:ascii="Open Sans Light" w:eastAsia="Open Sans Light" w:hAnsi="Open Sans Light" w:cs="Open Sans Light"/>
          <w:b/>
          <w:bCs/>
          <w:color w:val="303AB2"/>
        </w:rPr>
      </w:pPr>
      <w:r>
        <w:rPr>
          <w:rFonts w:ascii="National" w:eastAsia="National" w:hAnsi="National" w:cs="National"/>
          <w:b/>
          <w:bCs/>
          <w:color w:val="303AB2"/>
          <w:sz w:val="46"/>
          <w:szCs w:val="46"/>
        </w:rPr>
        <w:t>La segunda residencia cambia de dueño: el nuevo perfil dominante es ahora una mujer de 42 años y con hijos</w:t>
      </w:r>
    </w:p>
    <w:p w14:paraId="5C66835C" w14:textId="77777777" w:rsidR="00BD6CA8" w:rsidRDefault="00BD6CA8" w:rsidP="00BD6CA8">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8A5345B" w14:textId="23D5CEAD" w:rsidR="005635B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Las mujeres pasan a ser mayoría entre quienes buscan una segunda residencia y rompen con el predominio masculino de los últimos años</w:t>
      </w:r>
    </w:p>
    <w:p w14:paraId="14D64B3F" w14:textId="77777777" w:rsidR="005635B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Andalucía concentra uno de cada cuatro demandantes, seguida de Madrid y Cataluña</w:t>
      </w:r>
    </w:p>
    <w:p w14:paraId="7C116E99" w14:textId="77777777" w:rsidR="005635B5"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propiedad sigue siendo la situación residencial más habitual entre quienes buscan una segunda vivienda</w:t>
      </w:r>
    </w:p>
    <w:p w14:paraId="43CCE50F" w14:textId="77777777" w:rsidR="005635B5" w:rsidRDefault="005635B5">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267C457F" w14:textId="77777777" w:rsidR="005635B5"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9 de julio de 2026</w:t>
      </w:r>
      <w:r>
        <w:rPr>
          <w:rFonts w:ascii="Open Sans Light" w:eastAsia="Open Sans Light" w:hAnsi="Open Sans Light" w:cs="Open Sans Light"/>
          <w:b/>
          <w:bCs/>
          <w:color w:val="303AB2"/>
        </w:rPr>
        <w:tab/>
      </w:r>
    </w:p>
    <w:p w14:paraId="0882D2D6" w14:textId="77777777" w:rsidR="005635B5" w:rsidRDefault="005635B5">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1DDF09FA" w14:textId="77777777" w:rsidR="005635B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de la segunda residencia continúa transformándose y presenta un cambio significativo en el perfil de quienes muestran interés por adquirir o alquilar una vivienda para uso vacacional o de descanso. Durante el primer semestre de 2026, las mujeres han pasado a representar la mayoría de la demanda de segunda residencia en España, con un 51%, frente al 49% de los hombres. Se trata de un cambio relevante respecto a los dos años anteriores, cuando el perfil masculino era ligeramente mayoritario. La radiografía del demandante muestra además un perfil muy definido: una persona de 42 años de media, que convive con su pareja e hijos, reside habitualmente en una vivienda de propiedad y pertenece mayoritariamente a clases socioeconómicas altas y medias-altas, </w:t>
      </w:r>
      <w:r>
        <w:rPr>
          <w:rFonts w:ascii="Open Sans" w:eastAsia="Open Sans" w:hAnsi="Open Sans" w:cs="Open Sans"/>
          <w:b/>
          <w:bCs/>
        </w:rPr>
        <w:t xml:space="preserve">según los datos extraídos a partir de una encuesta de </w:t>
      </w:r>
      <w:hyperlink r:id="rId9">
        <w:r w:rsidR="005635B5">
          <w:rPr>
            <w:rFonts w:ascii="Open Sans" w:eastAsia="Open Sans" w:hAnsi="Open Sans" w:cs="Open Sans"/>
            <w:b/>
            <w:bCs/>
            <w:color w:val="0000FF"/>
            <w:u w:val="single"/>
          </w:rPr>
          <w:t>Fotocasa Research</w:t>
        </w:r>
      </w:hyperlink>
      <w:r>
        <w:rPr>
          <w:rFonts w:ascii="Open Sans" w:eastAsia="Open Sans" w:hAnsi="Open Sans" w:cs="Open Sans"/>
          <w:b/>
          <w:bCs/>
        </w:rPr>
        <w:t xml:space="preserve"> realizada en el primer semestre de 2026</w:t>
      </w:r>
      <w:r>
        <w:rPr>
          <w:rFonts w:ascii="Open Sans" w:eastAsia="Open Sans" w:hAnsi="Open Sans" w:cs="Open Sans"/>
        </w:rPr>
        <w:t>.</w:t>
      </w:r>
    </w:p>
    <w:p w14:paraId="108E7212"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43BAE37F" w14:textId="77777777" w:rsidR="005635B5"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"Detectamos que el mercado de segunda residencia está experimentando un relevo en el perfil de la demanda. La vivienda vacacional ya no responde al mismo patrón de hace unos años y, por primera vez, observamos que las mujeres pasan a liderar el interés por este tipo de vivienda. Este cambio refleja una demanda más </w:t>
      </w:r>
      <w:r>
        <w:rPr>
          <w:rFonts w:ascii="Open Sans" w:eastAsia="Open Sans" w:hAnsi="Open Sans" w:cs="Open Sans"/>
        </w:rPr>
        <w:lastRenderedPageBreak/>
        <w:t xml:space="preserve">diversa y una mayor participación femenina en las decisiones patrimoniales del hogar, mientras las familias continúan siendo el principal motor de este mercado. Así, decidimos que la segunda residencia sigue vinculada al bienestar, al ocio y a la construcción de patrimonio familiar, pero el perfil de quien impulsa esta decisión está evolucionando", </w:t>
      </w:r>
      <w:r>
        <w:rPr>
          <w:rFonts w:ascii="Open Sans" w:eastAsia="Open Sans" w:hAnsi="Open Sans" w:cs="Open Sans"/>
          <w:b/>
          <w:bCs/>
        </w:rPr>
        <w:t xml:space="preserve">explica María Matos, directora de Estudios y portavoz de </w:t>
      </w:r>
      <w:hyperlink r:id="rId10">
        <w:r w:rsidR="005635B5">
          <w:rPr>
            <w:rFonts w:ascii="Open Sans" w:eastAsia="Open Sans" w:hAnsi="Open Sans" w:cs="Open Sans"/>
            <w:b/>
            <w:bCs/>
            <w:color w:val="0000FF"/>
            <w:u w:val="single"/>
          </w:rPr>
          <w:t>Fotocasa</w:t>
        </w:r>
      </w:hyperlink>
      <w:r>
        <w:rPr>
          <w:rFonts w:ascii="Open Sans" w:eastAsia="Open Sans" w:hAnsi="Open Sans" w:cs="Open Sans"/>
          <w:b/>
          <w:bCs/>
        </w:rPr>
        <w:t>.</w:t>
      </w:r>
    </w:p>
    <w:p w14:paraId="73B6597F"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35945F96" w14:textId="77777777" w:rsidR="005635B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Las mujeres toman la iniciativa de la demanda</w:t>
      </w:r>
    </w:p>
    <w:p w14:paraId="1823E07A"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336759C6" w14:textId="77777777" w:rsidR="005635B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Así pues, la composición por género experimenta un cambio de tendencia durante el primer semestre de 2026. </w:t>
      </w:r>
      <w:r>
        <w:rPr>
          <w:rFonts w:ascii="Open Sans" w:eastAsia="Open Sans" w:hAnsi="Open Sans" w:cs="Open Sans"/>
          <w:b/>
          <w:bCs/>
        </w:rPr>
        <w:t>Mientras que en 2024 los hombres representaban el 53% de la demanda de segunda residencia y en 2025 mantenían prácticamente el mismo peso, en 2026 su presencia desciende hasta el 49%</w:t>
      </w:r>
      <w:r>
        <w:rPr>
          <w:rFonts w:ascii="Open Sans" w:eastAsia="Open Sans" w:hAnsi="Open Sans" w:cs="Open Sans"/>
        </w:rPr>
        <w:t>. En sentido contrario, la participación femenina aumenta hasta alcanzar el 51%, convirtiéndose por primera vez en el colectivo mayoritario entre quienes buscan una segunda residencia. En cuanto a la edad, el perfil permanece muy estable. La media continúa situada en los 42 años, aunque el mayor peso corresponde a las personas de entre 35 y 44 años (24%), seguidas, con el mismo porcentaje (24%), por quienes tienen entre 55 y 75 años. El grupo de entre 45 y 54 años representa el 19% de la demanda, mientras que los jóvenes de entre 18 y 24 años reducen su presencia hasta el 12%.</w:t>
      </w:r>
    </w:p>
    <w:p w14:paraId="1EEBD646"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588810FF" w14:textId="77777777" w:rsidR="005635B5"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5B6E5E9C" wp14:editId="34307232">
            <wp:extent cx="5760720" cy="3213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60720" cy="3213100"/>
                    </a:xfrm>
                    <a:prstGeom prst="rect">
                      <a:avLst/>
                    </a:prstGeom>
                    <a:ln/>
                  </pic:spPr>
                </pic:pic>
              </a:graphicData>
            </a:graphic>
          </wp:inline>
        </w:drawing>
      </w:r>
    </w:p>
    <w:p w14:paraId="7700F11B"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6954B263" w14:textId="77777777" w:rsidR="005635B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La mayoría convive con pareja e hijos</w:t>
      </w:r>
    </w:p>
    <w:p w14:paraId="714C7B12"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1E1A4C17" w14:textId="77777777" w:rsidR="005635B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comunidades autónomas, Andalucía concentra el mayor porcentaje de demandantes de segunda residencia, con el 25% del total. Le siguen Madrid, con el 17%, y Cataluña, con el 16%. La Comunidad Valenciana representa el 6% de la demanda, mientras que el resto de España reúne el 36% restante. </w:t>
      </w:r>
      <w:r>
        <w:rPr>
          <w:rFonts w:ascii="Open Sans" w:eastAsia="Open Sans" w:hAnsi="Open Sans" w:cs="Open Sans"/>
          <w:b/>
          <w:bCs/>
        </w:rPr>
        <w:t>Desde el punto de vista socioeconómico, el perfil continúa claramente asociado a las clases altas y medias-altas, mientras que las clases más bajas representan conjuntamente menos del 20% del total de demandantes</w:t>
      </w:r>
      <w:r>
        <w:rPr>
          <w:rFonts w:ascii="Open Sans" w:eastAsia="Open Sans" w:hAnsi="Open Sans" w:cs="Open Sans"/>
        </w:rPr>
        <w:t>. El perfil familiar también muestra una fotografía muy definida. El 41% de quienes buscan una segunda residencia vive con su pareja e hijos, convirtiéndose en el modelo de convivencia claramente mayoritario, y aumentando respecto al primer semestre de 2025, cuando representaban el 38%. Otro 20% convive únicamente con su pareja, mientras que el 17% todavía reside con sus padres y un 10% vive solo. Además, la inmensa mayoría de los demandantes ya reside en una vivienda de propiedad. En concreto, el 78% vive en un inmueble en propiedad, frente al 22% que reside de alquiler.</w:t>
      </w:r>
    </w:p>
    <w:p w14:paraId="71E5CD38"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17FEC665" w14:textId="77777777" w:rsidR="005635B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El comprador de segunda residencia: más equilibrio entre hombres y mujeres</w:t>
      </w:r>
    </w:p>
    <w:p w14:paraId="240DDDA5"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42FCCB53" w14:textId="77777777" w:rsidR="005635B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quienes finalmente compran una segunda residencia también se observa una importante evolución. Aunque los hombres continúan siendo ligeramente mayoritarios, la diferencia prácticamente desaparece. Durante el primer semestre de 2026, el 51% de los compradores son hombres y el 49% mujeres, frente al reparto registrado en 2024, cuando los hombres suponían casi el 59% de las compras. </w:t>
      </w:r>
      <w:r>
        <w:rPr>
          <w:rFonts w:ascii="Open Sans" w:eastAsia="Open Sans" w:hAnsi="Open Sans" w:cs="Open Sans"/>
          <w:b/>
          <w:bCs/>
        </w:rPr>
        <w:t>La edad media del comprador se sitúa en los 45 años</w:t>
      </w:r>
      <w:r>
        <w:rPr>
          <w:rFonts w:ascii="Open Sans" w:eastAsia="Open Sans" w:hAnsi="Open Sans" w:cs="Open Sans"/>
        </w:rPr>
        <w:t>. El grupo más numeroso corresponde a las personas de entre 35 y 44 años, que representan el 29% del total, seguido por quienes tienen entre 45 y 54 años (26%) y entre 55 y 75 años (25%).</w:t>
      </w:r>
    </w:p>
    <w:p w14:paraId="7710F475"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607F2D61" w14:textId="77777777" w:rsidR="005635B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El comprador mantiene también un perfil socioeconómico claramente vinculado a las clases alta y media-alta</w:t>
      </w:r>
      <w:r>
        <w:rPr>
          <w:rFonts w:ascii="Open Sans" w:eastAsia="Open Sans" w:hAnsi="Open Sans" w:cs="Open Sans"/>
        </w:rPr>
        <w:t xml:space="preserve">, que representan aproximadamente dos terceras partes del colectivo. Más de la mitad de quienes adquieren una segunda residencia, el 52%, convive con su pareja e hijos. Es un porcentaje que aumenta de forma significativa respecto al primer semestre de 2025. Por su parte, </w:t>
      </w:r>
      <w:r>
        <w:rPr>
          <w:rFonts w:ascii="Open Sans" w:eastAsia="Open Sans" w:hAnsi="Open Sans" w:cs="Open Sans"/>
        </w:rPr>
        <w:lastRenderedPageBreak/>
        <w:t>el 15% vive únicamente con su pareja, el 12% reside solo y el 11% continúa viviendo con sus padres. La propiedad es prácticamente la norma entre este colectivo: el 92% ya vive habitualmente en una vivienda de propiedad, mientras que únicamente el 8% reside en régimen de alquiler.</w:t>
      </w:r>
    </w:p>
    <w:p w14:paraId="09FCCC44"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42350101" w14:textId="77777777" w:rsidR="005635B5" w:rsidRDefault="00000000">
      <w:pPr>
        <w:pBdr>
          <w:top w:val="nil"/>
          <w:left w:val="nil"/>
          <w:bottom w:val="nil"/>
          <w:right w:val="nil"/>
          <w:between w:val="nil"/>
        </w:pBdr>
        <w:spacing w:line="276" w:lineRule="auto"/>
        <w:jc w:val="center"/>
        <w:rPr>
          <w:rFonts w:ascii="National" w:eastAsia="National" w:hAnsi="National" w:cs="National"/>
          <w:color w:val="303AB2"/>
          <w:sz w:val="30"/>
          <w:szCs w:val="30"/>
        </w:rPr>
      </w:pPr>
      <w:r>
        <w:rPr>
          <w:rFonts w:ascii="National" w:eastAsia="National" w:hAnsi="National" w:cs="National"/>
          <w:color w:val="303AB2"/>
          <w:sz w:val="30"/>
          <w:szCs w:val="30"/>
        </w:rPr>
        <w:t>Vivienda habitual de los demandantes de segunda residencia</w:t>
      </w:r>
    </w:p>
    <w:p w14:paraId="067454F7" w14:textId="77777777" w:rsidR="005635B5" w:rsidRDefault="005635B5">
      <w:pPr>
        <w:pBdr>
          <w:top w:val="nil"/>
          <w:left w:val="nil"/>
          <w:bottom w:val="nil"/>
          <w:right w:val="nil"/>
          <w:between w:val="nil"/>
        </w:pBdr>
        <w:spacing w:line="276" w:lineRule="auto"/>
        <w:jc w:val="center"/>
        <w:rPr>
          <w:rFonts w:ascii="Open Sans" w:eastAsia="Open Sans" w:hAnsi="Open Sans" w:cs="Open Sans"/>
        </w:rPr>
      </w:pPr>
    </w:p>
    <w:p w14:paraId="37EC33CA" w14:textId="77777777" w:rsidR="005635B5" w:rsidRDefault="00000000">
      <w:pPr>
        <w:pBdr>
          <w:top w:val="nil"/>
          <w:left w:val="nil"/>
          <w:bottom w:val="nil"/>
          <w:right w:val="nil"/>
          <w:between w:val="nil"/>
        </w:pBdr>
        <w:spacing w:line="276" w:lineRule="auto"/>
        <w:jc w:val="center"/>
        <w:rPr>
          <w:rFonts w:ascii="Open Sans" w:eastAsia="Open Sans" w:hAnsi="Open Sans" w:cs="Open Sans"/>
        </w:rPr>
      </w:pPr>
      <w:r>
        <w:rPr>
          <w:noProof/>
        </w:rPr>
        <w:drawing>
          <wp:inline distT="0" distB="0" distL="0" distR="0" wp14:anchorId="4199B4BE" wp14:editId="40B7A8ED">
            <wp:extent cx="5320030" cy="339106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320030" cy="3391066"/>
                    </a:xfrm>
                    <a:prstGeom prst="rect">
                      <a:avLst/>
                    </a:prstGeom>
                    <a:ln/>
                  </pic:spPr>
                </pic:pic>
              </a:graphicData>
            </a:graphic>
          </wp:inline>
        </w:drawing>
      </w:r>
    </w:p>
    <w:p w14:paraId="7B8B9EBA"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36553750" w14:textId="77777777" w:rsidR="005635B5"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El inquilino de segunda residencia: más joven y también mayoritariamente femenino</w:t>
      </w:r>
    </w:p>
    <w:p w14:paraId="7E37C7B5"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3CF56E2E" w14:textId="77777777" w:rsidR="005635B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perfil de quienes optan por alquilar una segunda residencia presenta diferencias respecto al comprador. </w:t>
      </w:r>
      <w:r>
        <w:rPr>
          <w:rFonts w:ascii="Open Sans" w:eastAsia="Open Sans" w:hAnsi="Open Sans" w:cs="Open Sans"/>
          <w:b/>
          <w:bCs/>
        </w:rPr>
        <w:t>En este caso, la edad media desciende hasta los 39 años y las mujeres también son mayoría, representando el 53% del total, frente al 47% de los hombres</w:t>
      </w:r>
      <w:r>
        <w:rPr>
          <w:rFonts w:ascii="Open Sans" w:eastAsia="Open Sans" w:hAnsi="Open Sans" w:cs="Open Sans"/>
        </w:rPr>
        <w:t>. Los grupos de edad más numerosos son los de entre 25 y 34 años, que concentran el 30% de los inquilinos, seguidos por quienes tienen entre 35 y 44 años (17%) y por el colectivo de entre 55 y 75 años (23%).</w:t>
      </w:r>
    </w:p>
    <w:p w14:paraId="2E90A544"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7E20F146" w14:textId="77777777" w:rsidR="005635B5"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Al igual que sucede con el resto de perfiles, predominan las clases altas y medias-altas, que representan algo más de la mitad de este colectivo. Por otro lado, entre quienes alquilan una segunda residencia, el 28% vive con su pareja e hijos y el 26% </w:t>
      </w:r>
      <w:r>
        <w:rPr>
          <w:rFonts w:ascii="Open Sans" w:eastAsia="Open Sans" w:hAnsi="Open Sans" w:cs="Open Sans"/>
        </w:rPr>
        <w:lastRenderedPageBreak/>
        <w:t xml:space="preserve">únicamente con su pareja. Además, el 24% todavía reside con sus padres y un 9% vive solo. </w:t>
      </w:r>
      <w:r>
        <w:rPr>
          <w:rFonts w:ascii="Open Sans" w:eastAsia="Open Sans" w:hAnsi="Open Sans" w:cs="Open Sans"/>
          <w:b/>
          <w:bCs/>
        </w:rPr>
        <w:t>En cuanto al régimen de la vivienda habitual, el perfil es más equilibrado que entre los compradores. El 62% reside actualmente en una vivienda de propiedad y el 38% vive de alquiler</w:t>
      </w:r>
      <w:r>
        <w:rPr>
          <w:rFonts w:ascii="Open Sans" w:eastAsia="Open Sans" w:hAnsi="Open Sans" w:cs="Open Sans"/>
        </w:rPr>
        <w:t>.</w:t>
      </w:r>
    </w:p>
    <w:p w14:paraId="50D506E3" w14:textId="77777777" w:rsidR="005635B5" w:rsidRDefault="005635B5">
      <w:pPr>
        <w:pBdr>
          <w:top w:val="nil"/>
          <w:left w:val="nil"/>
          <w:bottom w:val="nil"/>
          <w:right w:val="nil"/>
          <w:between w:val="nil"/>
        </w:pBdr>
        <w:spacing w:line="276" w:lineRule="auto"/>
        <w:jc w:val="both"/>
        <w:rPr>
          <w:rFonts w:ascii="Open Sans" w:eastAsia="Open Sans" w:hAnsi="Open Sans" w:cs="Open Sans"/>
        </w:rPr>
      </w:pPr>
    </w:p>
    <w:p w14:paraId="2513B169" w14:textId="77777777" w:rsidR="005635B5" w:rsidRDefault="005635B5" w:rsidP="00A35913">
      <w:pPr>
        <w:pBdr>
          <w:top w:val="nil"/>
          <w:left w:val="nil"/>
          <w:bottom w:val="nil"/>
          <w:right w:val="nil"/>
          <w:between w:val="nil"/>
        </w:pBdr>
        <w:spacing w:line="276" w:lineRule="auto"/>
        <w:jc w:val="both"/>
        <w:rPr>
          <w:rFonts w:ascii="Open Sans" w:eastAsia="Open Sans" w:hAnsi="Open Sans" w:cs="Open Sans"/>
        </w:rPr>
      </w:pPr>
    </w:p>
    <w:p w14:paraId="7F89C083" w14:textId="77777777" w:rsidR="005635B5" w:rsidRDefault="00000000" w:rsidP="00A35913">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62AB6AB5" w14:textId="77777777" w:rsidR="005635B5" w:rsidRDefault="00000000" w:rsidP="00A3591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65298B2D" w14:textId="77777777" w:rsidR="005635B5" w:rsidRDefault="00000000" w:rsidP="00A3591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3">
        <w:r w:rsidR="005635B5">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4">
        <w:r w:rsidR="005635B5">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05CD2CFF" w14:textId="77777777" w:rsidR="005635B5" w:rsidRDefault="00000000" w:rsidP="00A3591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5">
        <w:r w:rsidR="005635B5">
          <w:rPr>
            <w:rFonts w:ascii="Open Sans" w:eastAsia="Open Sans" w:hAnsi="Open Sans" w:cs="Open Sans"/>
            <w:b/>
            <w:bCs/>
            <w:color w:val="0000FF"/>
            <w:sz w:val="22"/>
            <w:szCs w:val="22"/>
            <w:u w:val="single"/>
          </w:rPr>
          <w:t>Sala de Prensa</w:t>
        </w:r>
      </w:hyperlink>
    </w:p>
    <w:p w14:paraId="2B43D87A" w14:textId="77777777" w:rsidR="005635B5" w:rsidRDefault="005635B5" w:rsidP="00A35913">
      <w:pPr>
        <w:spacing w:line="276" w:lineRule="auto"/>
        <w:rPr>
          <w:rFonts w:ascii="Open Sans Light" w:eastAsia="Open Sans Light" w:hAnsi="Open Sans Light" w:cs="Open Sans Light"/>
          <w:b/>
          <w:bCs/>
          <w:color w:val="303AB2"/>
        </w:rPr>
      </w:pPr>
    </w:p>
    <w:p w14:paraId="64D48FBE" w14:textId="77777777" w:rsidR="005635B5" w:rsidRDefault="00000000" w:rsidP="00A35913">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499B5A8B" w14:textId="77777777" w:rsidR="005635B5" w:rsidRDefault="00000000" w:rsidP="00A3591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67ED5D43" w14:textId="77777777" w:rsidR="005635B5" w:rsidRDefault="00000000" w:rsidP="00A3591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6">
        <w:r w:rsidR="005635B5">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7">
        <w:r w:rsidR="005635B5">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8">
        <w:r w:rsidR="005635B5">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9">
        <w:r w:rsidR="005635B5">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0">
        <w:r w:rsidR="005635B5">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1">
        <w:r w:rsidR="005635B5">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181FBA38" w14:textId="77777777" w:rsidR="005635B5" w:rsidRDefault="00000000" w:rsidP="00A3591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1437B8E2" w14:textId="77777777" w:rsidR="005635B5" w:rsidRDefault="00000000" w:rsidP="00A35913">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38BC74F8" w14:textId="77777777" w:rsidR="005635B5" w:rsidRDefault="005635B5" w:rsidP="00A35913">
      <w:pPr>
        <w:spacing w:line="276" w:lineRule="auto"/>
        <w:jc w:val="both"/>
        <w:rPr>
          <w:rFonts w:ascii="Open Sans" w:eastAsia="Open Sans" w:hAnsi="Open Sans" w:cs="Open Sans"/>
          <w:sz w:val="22"/>
          <w:szCs w:val="22"/>
        </w:rPr>
      </w:pPr>
    </w:p>
    <w:p w14:paraId="30E010C8" w14:textId="77777777" w:rsidR="005635B5" w:rsidRDefault="00000000" w:rsidP="00A35913">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Scout24</w:t>
      </w:r>
    </w:p>
    <w:p w14:paraId="1EF09576" w14:textId="77777777" w:rsidR="005635B5" w:rsidRDefault="005635B5" w:rsidP="00A35913">
      <w:pPr>
        <w:pBdr>
          <w:top w:val="nil"/>
          <w:left w:val="nil"/>
          <w:bottom w:val="nil"/>
          <w:right w:val="nil"/>
          <w:between w:val="nil"/>
        </w:pBdr>
        <w:spacing w:line="276" w:lineRule="auto"/>
        <w:jc w:val="both"/>
        <w:rPr>
          <w:rFonts w:ascii="Open Sans" w:eastAsia="Open Sans" w:hAnsi="Open Sans" w:cs="Open Sans"/>
          <w:sz w:val="22"/>
          <w:szCs w:val="22"/>
        </w:rPr>
      </w:pPr>
    </w:p>
    <w:p w14:paraId="0EA28A51" w14:textId="77777777" w:rsidR="005635B5" w:rsidRDefault="00000000" w:rsidP="00A35913">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2">
        <w:r w:rsidR="005635B5">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0CA0EC9E" w14:textId="77777777" w:rsidR="005635B5" w:rsidRDefault="005635B5" w:rsidP="00A35913">
      <w:pPr>
        <w:pBdr>
          <w:top w:val="nil"/>
          <w:left w:val="nil"/>
          <w:bottom w:val="nil"/>
          <w:right w:val="nil"/>
          <w:between w:val="nil"/>
        </w:pBdr>
        <w:spacing w:line="276" w:lineRule="auto"/>
        <w:jc w:val="both"/>
        <w:rPr>
          <w:rFonts w:ascii="Open Sans" w:eastAsia="Open Sans" w:hAnsi="Open Sans" w:cs="Open Sans"/>
          <w:sz w:val="22"/>
          <w:szCs w:val="22"/>
        </w:rPr>
      </w:pPr>
    </w:p>
    <w:p w14:paraId="14A21CCD" w14:textId="77777777" w:rsidR="005635B5" w:rsidRDefault="00000000" w:rsidP="00A35913">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2A37AF2E" w14:textId="77777777" w:rsidR="005635B5" w:rsidRDefault="005635B5" w:rsidP="00A35913">
      <w:pPr>
        <w:spacing w:line="276" w:lineRule="auto"/>
        <w:rPr>
          <w:rFonts w:ascii="Open Sans" w:eastAsia="Open Sans" w:hAnsi="Open Sans" w:cs="Open Sans"/>
        </w:rPr>
      </w:pPr>
    </w:p>
    <w:p w14:paraId="35482EDC" w14:textId="77777777" w:rsidR="005635B5" w:rsidRDefault="005635B5" w:rsidP="00A35913">
      <w:pPr>
        <w:spacing w:line="276" w:lineRule="auto"/>
        <w:rPr>
          <w:rFonts w:ascii="Open Sans Light" w:eastAsia="Open Sans Light" w:hAnsi="Open Sans Light" w:cs="Open Sans Light"/>
          <w:b/>
          <w:bCs/>
          <w:color w:val="303AB2"/>
          <w:sz w:val="22"/>
          <w:szCs w:val="22"/>
        </w:rPr>
      </w:pPr>
    </w:p>
    <w:p w14:paraId="2D3A7BC6" w14:textId="77777777" w:rsidR="005635B5" w:rsidRDefault="005635B5" w:rsidP="00A35913">
      <w:pPr>
        <w:spacing w:line="276" w:lineRule="auto"/>
        <w:rPr>
          <w:rFonts w:ascii="Open Sans Light" w:eastAsia="Open Sans Light" w:hAnsi="Open Sans Light" w:cs="Open Sans Light"/>
          <w:b/>
          <w:bCs/>
          <w:color w:val="303AB2"/>
          <w:sz w:val="22"/>
          <w:szCs w:val="22"/>
        </w:rPr>
      </w:pPr>
    </w:p>
    <w:p w14:paraId="37AB2A34" w14:textId="77777777" w:rsidR="005635B5" w:rsidRDefault="00000000" w:rsidP="00A35913">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3C7EED79" w14:textId="77777777" w:rsidR="005635B5" w:rsidRDefault="00000000" w:rsidP="00A35913">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6C6919F7" w14:textId="77777777" w:rsidR="005635B5" w:rsidRDefault="005635B5" w:rsidP="00A35913">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1715FEDC" w14:textId="77777777" w:rsidR="005635B5" w:rsidRDefault="00000000" w:rsidP="00A35913">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1DF0794" w14:textId="77777777" w:rsidR="005635B5" w:rsidRDefault="005635B5">
      <w:pPr>
        <w:spacing w:line="276" w:lineRule="auto"/>
        <w:jc w:val="right"/>
        <w:rPr>
          <w:rFonts w:ascii="Open Sans" w:eastAsia="Open Sans" w:hAnsi="Open Sans" w:cs="Open Sans"/>
          <w:color w:val="000000"/>
          <w:sz w:val="22"/>
          <w:szCs w:val="22"/>
        </w:rPr>
      </w:pPr>
    </w:p>
    <w:sectPr w:rsidR="005635B5">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B0F41" w14:textId="77777777" w:rsidR="008F3C51" w:rsidRDefault="008F3C51">
      <w:r>
        <w:separator/>
      </w:r>
    </w:p>
  </w:endnote>
  <w:endnote w:type="continuationSeparator" w:id="0">
    <w:p w14:paraId="64CCD811" w14:textId="77777777" w:rsidR="008F3C51" w:rsidRDefault="008F3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72B201D-C153-45EF-B9C9-D8FE03C4811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FF7D9A2-D887-4675-83FC-3672739190A4}"/>
    <w:embedBold r:id="rId3" w:fontKey="{1D0D757B-B411-4AB3-9A0F-C410612C653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29F3909-23DE-400B-B55A-E2194F4ABFB7}"/>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F3691FA5-D26D-4AE2-B87C-375B71DFCA8A}"/>
  </w:font>
  <w:font w:name="Open Sans">
    <w:charset w:val="00"/>
    <w:family w:val="swiss"/>
    <w:pitch w:val="variable"/>
    <w:sig w:usb0="E00002EF" w:usb1="4000205B" w:usb2="00000028" w:usb3="00000000" w:csb0="0000019F" w:csb1="00000000"/>
    <w:embedRegular r:id="rId6" w:fontKey="{2A63B3B0-2EBD-423D-82C3-C32BF0400D3A}"/>
    <w:embedBold r:id="rId7" w:fontKey="{62174B47-C1A7-4E94-BCC5-78226205AB77}"/>
  </w:font>
  <w:font w:name="Cambria">
    <w:panose1 w:val="02040503050406030204"/>
    <w:charset w:val="00"/>
    <w:family w:val="roman"/>
    <w:pitch w:val="variable"/>
    <w:sig w:usb0="E00006FF" w:usb1="420024FF" w:usb2="02000000" w:usb3="00000000" w:csb0="0000019F" w:csb1="00000000"/>
    <w:embedRegular r:id="rId8" w:fontKey="{70619884-971A-4D80-BD63-4108D1E5B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D216E" w14:textId="77777777" w:rsidR="005635B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1C319A1" wp14:editId="34BAE2E5">
          <wp:simplePos x="0" y="0"/>
          <wp:positionH relativeFrom="column">
            <wp:posOffset>-1068040</wp:posOffset>
          </wp:positionH>
          <wp:positionV relativeFrom="paragraph">
            <wp:posOffset>174608</wp:posOffset>
          </wp:positionV>
          <wp:extent cx="7670550" cy="45131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194D1" w14:textId="77777777" w:rsidR="008F3C51" w:rsidRDefault="008F3C51">
      <w:r>
        <w:separator/>
      </w:r>
    </w:p>
  </w:footnote>
  <w:footnote w:type="continuationSeparator" w:id="0">
    <w:p w14:paraId="12E7D535" w14:textId="77777777" w:rsidR="008F3C51" w:rsidRDefault="008F3C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7D1B32"/>
    <w:multiLevelType w:val="multilevel"/>
    <w:tmpl w:val="1CBE2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094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5B5"/>
    <w:rsid w:val="00202876"/>
    <w:rsid w:val="005635B5"/>
    <w:rsid w:val="00574431"/>
    <w:rsid w:val="008F3C51"/>
    <w:rsid w:val="00A35913"/>
    <w:rsid w:val="00BD5611"/>
    <w:rsid w:val="00BD6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567AA"/>
  <w15:docId w15:val="{EEC75797-C769-452C-8D6B-A2A8D506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a-Lat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profesionales.fotocas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moweb.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datavenues.com/"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research.fotocasa.es" TargetMode="External"/><Relationship Id="rId22" Type="http://schemas.openxmlformats.org/officeDocument/2006/relationships/hyperlink" Target="https://www.immobilienscout24.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ABvmymkmuT68Rj8daSJaSkXEnA==">CgMxLjA4AHIhMUhTbkNlb2xDV0lDSXprTnVEcjk1aDZkakVQcS1Lbmpr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1466</Words>
  <Characters>8360</Characters>
  <Application>Microsoft Office Word</Application>
  <DocSecurity>0</DocSecurity>
  <Lines>69</Lines>
  <Paragraphs>19</Paragraphs>
  <ScaleCrop>false</ScaleCrop>
  <Company/>
  <LinksUpToDate>false</LinksUpToDate>
  <CharactersWithSpaces>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2026-07-03T21:44:00Z</dcterms:created>
  <dcterms:modified xsi:type="dcterms:W3CDTF">2026-07-04T13:35:00Z</dcterms:modified>
</cp:coreProperties>
</file>