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328C23" w14:textId="77777777" w:rsidR="00E10521" w:rsidRDefault="00000000">
      <w:r>
        <w:rPr>
          <w:noProof/>
        </w:rPr>
        <w:drawing>
          <wp:anchor distT="0" distB="0" distL="114300" distR="114300" simplePos="0" relativeHeight="251658240" behindDoc="0" locked="0" layoutInCell="1" hidden="0" allowOverlap="1" wp14:anchorId="1E832239" wp14:editId="27C49F14">
            <wp:simplePos x="0" y="0"/>
            <wp:positionH relativeFrom="column">
              <wp:posOffset>-1080116</wp:posOffset>
            </wp:positionH>
            <wp:positionV relativeFrom="paragraph">
              <wp:posOffset>-654665</wp:posOffset>
            </wp:positionV>
            <wp:extent cx="7581265" cy="1019175"/>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7581265" cy="1019175"/>
                    </a:xfrm>
                    <a:prstGeom prst="rect">
                      <a:avLst/>
                    </a:prstGeom>
                    <a:ln/>
                  </pic:spPr>
                </pic:pic>
              </a:graphicData>
            </a:graphic>
          </wp:anchor>
        </w:drawing>
      </w:r>
    </w:p>
    <w:p w14:paraId="7D36D3E2" w14:textId="77777777" w:rsidR="00E10521" w:rsidRDefault="00E10521">
      <w:pPr>
        <w:jc w:val="right"/>
        <w:rPr>
          <w:rFonts w:ascii="National" w:eastAsia="National" w:hAnsi="National" w:cs="National"/>
          <w:color w:val="303AB2"/>
          <w:sz w:val="36"/>
          <w:szCs w:val="36"/>
        </w:rPr>
      </w:pPr>
    </w:p>
    <w:p w14:paraId="3B6B75A5" w14:textId="77777777" w:rsidR="00E10521" w:rsidRDefault="00E10521">
      <w:pPr>
        <w:rPr>
          <w:rFonts w:ascii="National" w:eastAsia="National" w:hAnsi="National" w:cs="National"/>
          <w:color w:val="303AB2"/>
          <w:sz w:val="18"/>
          <w:szCs w:val="18"/>
        </w:rPr>
      </w:pPr>
    </w:p>
    <w:p w14:paraId="248D0E30" w14:textId="77777777" w:rsidR="00E10521" w:rsidRDefault="00E10521">
      <w:pPr>
        <w:jc w:val="center"/>
        <w:rPr>
          <w:rFonts w:ascii="National" w:eastAsia="National" w:hAnsi="National" w:cs="National"/>
          <w:b/>
          <w:bCs/>
          <w:color w:val="1DBDC5"/>
          <w:sz w:val="34"/>
          <w:szCs w:val="34"/>
        </w:rPr>
      </w:pPr>
    </w:p>
    <w:p w14:paraId="526619B5" w14:textId="77777777" w:rsidR="00E10521" w:rsidRDefault="00000000">
      <w:pPr>
        <w:jc w:val="center"/>
        <w:rPr>
          <w:rFonts w:ascii="National" w:eastAsia="National" w:hAnsi="National" w:cs="National"/>
          <w:b/>
          <w:bCs/>
          <w:color w:val="1DBDC5"/>
          <w:sz w:val="34"/>
          <w:szCs w:val="34"/>
        </w:rPr>
      </w:pPr>
      <w:r>
        <w:rPr>
          <w:rFonts w:ascii="National" w:eastAsia="National" w:hAnsi="National" w:cs="National"/>
          <w:b/>
          <w:bCs/>
          <w:color w:val="1DBDC5"/>
          <w:sz w:val="34"/>
          <w:szCs w:val="34"/>
        </w:rPr>
        <w:t>PERFIL DEL COMPRADOR DE SEGUNDA RESIDENCIA EN 2026</w:t>
      </w:r>
    </w:p>
    <w:p w14:paraId="31F51F87" w14:textId="77777777" w:rsidR="00E10521" w:rsidRDefault="00000000">
      <w:pPr>
        <w:pBdr>
          <w:top w:val="nil"/>
          <w:left w:val="nil"/>
          <w:bottom w:val="nil"/>
          <w:right w:val="nil"/>
          <w:between w:val="nil"/>
        </w:pBdr>
        <w:spacing w:line="276" w:lineRule="auto"/>
        <w:jc w:val="center"/>
        <w:rPr>
          <w:rFonts w:ascii="National" w:eastAsia="National" w:hAnsi="National" w:cs="National"/>
          <w:b/>
          <w:bCs/>
          <w:color w:val="303AB2"/>
          <w:sz w:val="46"/>
          <w:szCs w:val="46"/>
        </w:rPr>
      </w:pPr>
      <w:r>
        <w:rPr>
          <w:rFonts w:ascii="National" w:eastAsia="National" w:hAnsi="National" w:cs="National"/>
          <w:b/>
          <w:bCs/>
          <w:color w:val="303AB2"/>
          <w:sz w:val="46"/>
          <w:szCs w:val="46"/>
        </w:rPr>
        <w:t>Playa o montaña, pero en propiedad: la compra de segunda residencia vuelve a ganar fuerza frente al alquiler</w:t>
      </w:r>
    </w:p>
    <w:p w14:paraId="23C751AA" w14:textId="77777777" w:rsidR="00E10521" w:rsidRDefault="00E10521">
      <w:pPr>
        <w:pBdr>
          <w:top w:val="nil"/>
          <w:left w:val="nil"/>
          <w:bottom w:val="nil"/>
          <w:right w:val="nil"/>
          <w:between w:val="nil"/>
        </w:pBdr>
        <w:spacing w:line="276" w:lineRule="auto"/>
        <w:jc w:val="center"/>
        <w:rPr>
          <w:rFonts w:ascii="Open Sans Light" w:eastAsia="Open Sans Light" w:hAnsi="Open Sans Light" w:cs="Open Sans Light"/>
          <w:b/>
          <w:bCs/>
          <w:color w:val="303AB2"/>
        </w:rPr>
      </w:pPr>
    </w:p>
    <w:p w14:paraId="3094B582" w14:textId="77777777" w:rsidR="00E10521" w:rsidRDefault="00000000">
      <w:pPr>
        <w:numPr>
          <w:ilvl w:val="0"/>
          <w:numId w:val="1"/>
        </w:numPr>
        <w:pBdr>
          <w:top w:val="nil"/>
          <w:left w:val="nil"/>
          <w:bottom w:val="nil"/>
          <w:right w:val="nil"/>
          <w:between w:val="nil"/>
        </w:pBdr>
        <w:spacing w:line="276" w:lineRule="auto"/>
        <w:jc w:val="both"/>
        <w:rPr>
          <w:rFonts w:ascii="Open Sans Light" w:eastAsia="Open Sans Light" w:hAnsi="Open Sans Light" w:cs="Open Sans Light"/>
          <w:b/>
          <w:bCs/>
          <w:color w:val="303AB2"/>
        </w:rPr>
      </w:pPr>
      <w:r>
        <w:rPr>
          <w:rFonts w:ascii="Open Sans Light" w:eastAsia="Open Sans Light" w:hAnsi="Open Sans Light" w:cs="Open Sans Light"/>
          <w:b/>
          <w:bCs/>
          <w:color w:val="303AB2"/>
        </w:rPr>
        <w:t>La demanda de vivienda para vacaciones y fines de semana representa ya más del 11% del mercado residencial</w:t>
      </w:r>
    </w:p>
    <w:p w14:paraId="54041265" w14:textId="77777777" w:rsidR="00E10521" w:rsidRDefault="00000000">
      <w:pPr>
        <w:numPr>
          <w:ilvl w:val="0"/>
          <w:numId w:val="1"/>
        </w:numPr>
        <w:pBdr>
          <w:top w:val="nil"/>
          <w:left w:val="nil"/>
          <w:bottom w:val="nil"/>
          <w:right w:val="nil"/>
          <w:between w:val="nil"/>
        </w:pBdr>
        <w:spacing w:line="276" w:lineRule="auto"/>
        <w:jc w:val="both"/>
        <w:rPr>
          <w:rFonts w:ascii="Open Sans Light" w:eastAsia="Open Sans Light" w:hAnsi="Open Sans Light" w:cs="Open Sans Light"/>
          <w:b/>
          <w:bCs/>
          <w:color w:val="303AB2"/>
        </w:rPr>
      </w:pPr>
      <w:r>
        <w:rPr>
          <w:rFonts w:ascii="Open Sans Light" w:eastAsia="Open Sans Light" w:hAnsi="Open Sans Light" w:cs="Open Sans Light"/>
          <w:b/>
          <w:bCs/>
          <w:color w:val="303AB2"/>
        </w:rPr>
        <w:t>El peso de los compradores de segunda residencia aumenta hasta el 57%, mientras el alquiler pierde protagonismo</w:t>
      </w:r>
    </w:p>
    <w:p w14:paraId="3B42822F" w14:textId="77777777" w:rsidR="00E10521" w:rsidRDefault="00000000">
      <w:pPr>
        <w:numPr>
          <w:ilvl w:val="0"/>
          <w:numId w:val="1"/>
        </w:numPr>
        <w:pBdr>
          <w:top w:val="nil"/>
          <w:left w:val="nil"/>
          <w:bottom w:val="nil"/>
          <w:right w:val="nil"/>
          <w:between w:val="nil"/>
        </w:pBdr>
        <w:spacing w:line="276" w:lineRule="auto"/>
        <w:jc w:val="both"/>
        <w:rPr>
          <w:rFonts w:ascii="Open Sans Light" w:eastAsia="Open Sans Light" w:hAnsi="Open Sans Light" w:cs="Open Sans Light"/>
          <w:b/>
          <w:bCs/>
          <w:color w:val="303AB2"/>
        </w:rPr>
      </w:pPr>
      <w:r>
        <w:rPr>
          <w:rFonts w:ascii="Open Sans Light" w:eastAsia="Open Sans Light" w:hAnsi="Open Sans Light" w:cs="Open Sans Light"/>
          <w:b/>
          <w:bCs/>
          <w:color w:val="303AB2"/>
        </w:rPr>
        <w:t>La brecha entre compra y alquiler se amplía de nuevo tras el acercamiento registrado en 2025</w:t>
      </w:r>
    </w:p>
    <w:p w14:paraId="01892895" w14:textId="77777777" w:rsidR="00E10521" w:rsidRDefault="00E10521">
      <w:pPr>
        <w:pBdr>
          <w:top w:val="nil"/>
          <w:left w:val="nil"/>
          <w:bottom w:val="nil"/>
          <w:right w:val="nil"/>
          <w:between w:val="nil"/>
        </w:pBdr>
        <w:spacing w:line="276" w:lineRule="auto"/>
        <w:ind w:left="720"/>
        <w:jc w:val="both"/>
        <w:rPr>
          <w:rFonts w:ascii="Open Sans Light" w:eastAsia="Open Sans Light" w:hAnsi="Open Sans Light" w:cs="Open Sans Light"/>
          <w:b/>
          <w:bCs/>
          <w:color w:val="303AB2"/>
        </w:rPr>
      </w:pPr>
    </w:p>
    <w:p w14:paraId="05E69800" w14:textId="4FFA7ECE" w:rsidR="00E10521" w:rsidRDefault="00000000">
      <w:pPr>
        <w:pBdr>
          <w:top w:val="nil"/>
          <w:left w:val="nil"/>
          <w:bottom w:val="nil"/>
          <w:right w:val="nil"/>
          <w:between w:val="nil"/>
        </w:pBdr>
        <w:tabs>
          <w:tab w:val="left" w:pos="6589"/>
        </w:tabs>
        <w:spacing w:line="276" w:lineRule="auto"/>
        <w:jc w:val="both"/>
        <w:rPr>
          <w:rFonts w:ascii="Open Sans Light" w:eastAsia="Open Sans Light" w:hAnsi="Open Sans Light" w:cs="Open Sans Light"/>
          <w:b/>
          <w:bCs/>
          <w:color w:val="303AB2"/>
        </w:rPr>
      </w:pPr>
      <w:r>
        <w:rPr>
          <w:rFonts w:ascii="Open Sans Light" w:eastAsia="Open Sans Light" w:hAnsi="Open Sans Light" w:cs="Open Sans Light"/>
          <w:b/>
          <w:bCs/>
          <w:color w:val="303AB2"/>
        </w:rPr>
        <w:t xml:space="preserve">Madrid, </w:t>
      </w:r>
      <w:r w:rsidR="00E37A0D">
        <w:rPr>
          <w:rFonts w:ascii="Open Sans Light" w:eastAsia="Open Sans Light" w:hAnsi="Open Sans Light" w:cs="Open Sans Light"/>
          <w:b/>
          <w:bCs/>
          <w:color w:val="303AB2"/>
        </w:rPr>
        <w:t>10 de agosto</w:t>
      </w:r>
      <w:r>
        <w:rPr>
          <w:rFonts w:ascii="Open Sans Light" w:eastAsia="Open Sans Light" w:hAnsi="Open Sans Light" w:cs="Open Sans Light"/>
          <w:b/>
          <w:bCs/>
          <w:color w:val="303AB2"/>
        </w:rPr>
        <w:t xml:space="preserve"> de 2026</w:t>
      </w:r>
      <w:r>
        <w:rPr>
          <w:rFonts w:ascii="Open Sans Light" w:eastAsia="Open Sans Light" w:hAnsi="Open Sans Light" w:cs="Open Sans Light"/>
          <w:b/>
          <w:bCs/>
          <w:color w:val="303AB2"/>
        </w:rPr>
        <w:tab/>
      </w:r>
    </w:p>
    <w:p w14:paraId="7A61F07E" w14:textId="77777777" w:rsidR="00E10521" w:rsidRDefault="00E10521">
      <w:pPr>
        <w:pBdr>
          <w:top w:val="nil"/>
          <w:left w:val="nil"/>
          <w:bottom w:val="nil"/>
          <w:right w:val="nil"/>
          <w:between w:val="nil"/>
        </w:pBdr>
        <w:tabs>
          <w:tab w:val="left" w:pos="6589"/>
        </w:tabs>
        <w:spacing w:line="276" w:lineRule="auto"/>
        <w:jc w:val="both"/>
        <w:rPr>
          <w:rFonts w:ascii="Open Sans Light" w:eastAsia="Open Sans Light" w:hAnsi="Open Sans Light" w:cs="Open Sans Light"/>
          <w:b/>
          <w:bCs/>
          <w:color w:val="303AB2"/>
        </w:rPr>
      </w:pPr>
    </w:p>
    <w:p w14:paraId="1A541BD4" w14:textId="77777777" w:rsidR="00E10521" w:rsidRDefault="00000000">
      <w:pPr>
        <w:pBdr>
          <w:top w:val="nil"/>
          <w:left w:val="nil"/>
          <w:bottom w:val="nil"/>
          <w:right w:val="nil"/>
          <w:between w:val="nil"/>
        </w:pBdr>
        <w:spacing w:line="276" w:lineRule="auto"/>
        <w:jc w:val="both"/>
        <w:rPr>
          <w:rFonts w:ascii="Open Sans" w:eastAsia="Open Sans" w:hAnsi="Open Sans" w:cs="Open Sans"/>
        </w:rPr>
      </w:pPr>
      <w:r>
        <w:rPr>
          <w:rFonts w:ascii="Open Sans" w:eastAsia="Open Sans" w:hAnsi="Open Sans" w:cs="Open Sans"/>
        </w:rPr>
        <w:t xml:space="preserve">La segunda residencia recupera protagonismo dentro del mercado de la vivienda y lo hace, además, con una tendencia cada vez más clara hacia la propiedad. Durante el primer semestre de 2026, la demanda de vivienda destinada a segunda residencia ha representado el 11% de toda la demanda residencial en España, una cifra superior a la registrada un año antes y que confirma el creciente interés de los españoles por disponer de una vivienda adicional para el ocio, las vacaciones o las escapadas de fin de semana. Además, dentro de este segmento, la compra vuelve a consolidarse como la opción preferida frente al alquiler. Tras el estrechamiento de la distancia entre ambos perfiles observado en 2025, el mercado recupera una mayor inclinación hacia la adquisición de una segunda vivienda, </w:t>
      </w:r>
      <w:r>
        <w:rPr>
          <w:rFonts w:ascii="Open Sans" w:eastAsia="Open Sans" w:hAnsi="Open Sans" w:cs="Open Sans"/>
          <w:b/>
          <w:bCs/>
        </w:rPr>
        <w:t xml:space="preserve">según los datos extraídos a partir de una encuesta de </w:t>
      </w:r>
      <w:hyperlink r:id="rId9">
        <w:r>
          <w:rPr>
            <w:rFonts w:ascii="Open Sans" w:eastAsia="Open Sans" w:hAnsi="Open Sans" w:cs="Open Sans"/>
            <w:b/>
            <w:bCs/>
            <w:color w:val="0000FF"/>
            <w:u w:val="single"/>
          </w:rPr>
          <w:t>Fotocasa Research</w:t>
        </w:r>
      </w:hyperlink>
      <w:r>
        <w:rPr>
          <w:rFonts w:ascii="Open Sans" w:eastAsia="Open Sans" w:hAnsi="Open Sans" w:cs="Open Sans"/>
          <w:b/>
          <w:bCs/>
        </w:rPr>
        <w:t xml:space="preserve"> realizada en el primer semestre de 2026</w:t>
      </w:r>
      <w:r>
        <w:rPr>
          <w:rFonts w:ascii="Open Sans" w:eastAsia="Open Sans" w:hAnsi="Open Sans" w:cs="Open Sans"/>
        </w:rPr>
        <w:t>.</w:t>
      </w:r>
    </w:p>
    <w:p w14:paraId="27BC4698" w14:textId="77777777" w:rsidR="00E10521" w:rsidRDefault="00E10521">
      <w:pPr>
        <w:pBdr>
          <w:top w:val="nil"/>
          <w:left w:val="nil"/>
          <w:bottom w:val="nil"/>
          <w:right w:val="nil"/>
          <w:between w:val="nil"/>
        </w:pBdr>
        <w:spacing w:line="276" w:lineRule="auto"/>
        <w:jc w:val="both"/>
        <w:rPr>
          <w:rFonts w:ascii="Open Sans" w:eastAsia="Open Sans" w:hAnsi="Open Sans" w:cs="Open Sans"/>
        </w:rPr>
      </w:pPr>
    </w:p>
    <w:p w14:paraId="7CECFFFE" w14:textId="77777777" w:rsidR="00E10521" w:rsidRDefault="00000000">
      <w:pPr>
        <w:pBdr>
          <w:top w:val="nil"/>
          <w:left w:val="nil"/>
          <w:bottom w:val="nil"/>
          <w:right w:val="nil"/>
          <w:between w:val="nil"/>
        </w:pBdr>
        <w:spacing w:line="276" w:lineRule="auto"/>
        <w:jc w:val="both"/>
        <w:rPr>
          <w:rFonts w:ascii="Open Sans" w:eastAsia="Open Sans" w:hAnsi="Open Sans" w:cs="Open Sans"/>
          <w:b/>
          <w:bCs/>
        </w:rPr>
      </w:pPr>
      <w:r>
        <w:rPr>
          <w:rFonts w:ascii="Open Sans" w:eastAsia="Open Sans" w:hAnsi="Open Sans" w:cs="Open Sans"/>
        </w:rPr>
        <w:t xml:space="preserve">"La segunda residencia sigue ocupando un lugar importante dentro de las aspiraciones residenciales de los españoles. A pesar del fuerte incremento de los precios registrado en los últimos años, observamos que la demanda de vivienda para vacaciones y ocio gana peso dentro del mercado y alcanza uno de los niveles </w:t>
      </w:r>
      <w:r>
        <w:rPr>
          <w:rFonts w:ascii="Open Sans" w:eastAsia="Open Sans" w:hAnsi="Open Sans" w:cs="Open Sans"/>
        </w:rPr>
        <w:lastRenderedPageBreak/>
        <w:t xml:space="preserve">más altos de los últimos años. Además, la compra vuelve a consolidarse como la opción preferida frente al alquiler. Esta tendencia refleja que quienes buscan una segunda residencia continúan viendo la vivienda como un activo patrimonial capaz de aportar valor a largo plazo, además de ofrecer un espacio de disfrute personal y familiar.", </w:t>
      </w:r>
      <w:r>
        <w:rPr>
          <w:rFonts w:ascii="Open Sans" w:eastAsia="Open Sans" w:hAnsi="Open Sans" w:cs="Open Sans"/>
          <w:b/>
          <w:bCs/>
        </w:rPr>
        <w:t xml:space="preserve">explica María Matos, directora de Estudios y portavoz de </w:t>
      </w:r>
      <w:hyperlink r:id="rId10">
        <w:r>
          <w:rPr>
            <w:rFonts w:ascii="Open Sans" w:eastAsia="Open Sans" w:hAnsi="Open Sans" w:cs="Open Sans"/>
            <w:b/>
            <w:bCs/>
            <w:color w:val="0000FF"/>
            <w:u w:val="single"/>
          </w:rPr>
          <w:t>Fotocasa</w:t>
        </w:r>
      </w:hyperlink>
      <w:r>
        <w:rPr>
          <w:rFonts w:ascii="Open Sans" w:eastAsia="Open Sans" w:hAnsi="Open Sans" w:cs="Open Sans"/>
          <w:b/>
          <w:bCs/>
        </w:rPr>
        <w:t>.</w:t>
      </w:r>
    </w:p>
    <w:p w14:paraId="2B25BE1E" w14:textId="77777777" w:rsidR="00E10521" w:rsidRDefault="00E10521">
      <w:pPr>
        <w:pBdr>
          <w:top w:val="nil"/>
          <w:left w:val="nil"/>
          <w:bottom w:val="nil"/>
          <w:right w:val="nil"/>
          <w:between w:val="nil"/>
        </w:pBdr>
        <w:spacing w:line="276" w:lineRule="auto"/>
        <w:jc w:val="both"/>
        <w:rPr>
          <w:rFonts w:ascii="Open Sans" w:eastAsia="Open Sans" w:hAnsi="Open Sans" w:cs="Open Sans"/>
          <w:b/>
          <w:bCs/>
        </w:rPr>
      </w:pPr>
    </w:p>
    <w:p w14:paraId="61FB4EB3" w14:textId="77777777" w:rsidR="00E10521" w:rsidRDefault="00000000">
      <w:pPr>
        <w:pBdr>
          <w:top w:val="nil"/>
          <w:left w:val="nil"/>
          <w:bottom w:val="nil"/>
          <w:right w:val="nil"/>
          <w:between w:val="nil"/>
        </w:pBdr>
        <w:spacing w:line="276" w:lineRule="auto"/>
        <w:jc w:val="center"/>
        <w:rPr>
          <w:rFonts w:ascii="National" w:eastAsia="National" w:hAnsi="National" w:cs="National"/>
          <w:color w:val="303AB2"/>
          <w:sz w:val="28"/>
          <w:szCs w:val="28"/>
        </w:rPr>
      </w:pPr>
      <w:r>
        <w:rPr>
          <w:rFonts w:ascii="National" w:eastAsia="National" w:hAnsi="National" w:cs="National"/>
          <w:color w:val="303AB2"/>
          <w:sz w:val="28"/>
          <w:szCs w:val="28"/>
        </w:rPr>
        <w:t>Peso de los perfiles que componen la demanda de segunda residencia</w:t>
      </w:r>
    </w:p>
    <w:p w14:paraId="01072603" w14:textId="77777777" w:rsidR="00E10521" w:rsidRDefault="00000000">
      <w:pPr>
        <w:pBdr>
          <w:top w:val="nil"/>
          <w:left w:val="nil"/>
          <w:bottom w:val="nil"/>
          <w:right w:val="nil"/>
          <w:between w:val="nil"/>
        </w:pBdr>
        <w:spacing w:line="276" w:lineRule="auto"/>
        <w:jc w:val="center"/>
        <w:rPr>
          <w:rFonts w:ascii="Open Sans" w:eastAsia="Open Sans" w:hAnsi="Open Sans" w:cs="Open Sans"/>
          <w:b/>
          <w:bCs/>
        </w:rPr>
      </w:pPr>
      <w:r>
        <w:rPr>
          <w:noProof/>
        </w:rPr>
        <w:drawing>
          <wp:inline distT="0" distB="0" distL="0" distR="0" wp14:anchorId="3D1788D9" wp14:editId="4AE9CAB8">
            <wp:extent cx="5334429" cy="2895627"/>
            <wp:effectExtent l="0" t="0" r="0" b="0"/>
            <wp:docPr id="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1"/>
                    <a:srcRect/>
                    <a:stretch>
                      <a:fillRect/>
                    </a:stretch>
                  </pic:blipFill>
                  <pic:spPr>
                    <a:xfrm>
                      <a:off x="0" y="0"/>
                      <a:ext cx="5334429" cy="2895627"/>
                    </a:xfrm>
                    <a:prstGeom prst="rect">
                      <a:avLst/>
                    </a:prstGeom>
                    <a:ln/>
                  </pic:spPr>
                </pic:pic>
              </a:graphicData>
            </a:graphic>
          </wp:inline>
        </w:drawing>
      </w:r>
    </w:p>
    <w:p w14:paraId="0A49F3AC" w14:textId="77777777" w:rsidR="00E10521" w:rsidRDefault="00E10521">
      <w:pPr>
        <w:pBdr>
          <w:top w:val="nil"/>
          <w:left w:val="nil"/>
          <w:bottom w:val="nil"/>
          <w:right w:val="nil"/>
          <w:between w:val="nil"/>
        </w:pBdr>
        <w:spacing w:line="276" w:lineRule="auto"/>
        <w:jc w:val="both"/>
        <w:rPr>
          <w:rFonts w:ascii="Open Sans" w:eastAsia="Open Sans" w:hAnsi="Open Sans" w:cs="Open Sans"/>
          <w:b/>
          <w:bCs/>
        </w:rPr>
      </w:pPr>
    </w:p>
    <w:p w14:paraId="5215B1E6" w14:textId="77777777" w:rsidR="00E10521" w:rsidRDefault="00000000">
      <w:pPr>
        <w:pBdr>
          <w:top w:val="nil"/>
          <w:left w:val="nil"/>
          <w:bottom w:val="nil"/>
          <w:right w:val="nil"/>
          <w:between w:val="nil"/>
        </w:pBdr>
        <w:spacing w:line="276" w:lineRule="auto"/>
        <w:jc w:val="both"/>
        <w:rPr>
          <w:rFonts w:ascii="National" w:eastAsia="National" w:hAnsi="National" w:cs="National"/>
          <w:b/>
          <w:bCs/>
          <w:color w:val="303AB2"/>
          <w:sz w:val="32"/>
          <w:szCs w:val="32"/>
        </w:rPr>
      </w:pPr>
      <w:r>
        <w:rPr>
          <w:rFonts w:ascii="National" w:eastAsia="National" w:hAnsi="National" w:cs="National"/>
          <w:b/>
          <w:bCs/>
          <w:color w:val="303AB2"/>
          <w:sz w:val="32"/>
          <w:szCs w:val="32"/>
        </w:rPr>
        <w:t>La segunda residencia gana peso en el mercado</w:t>
      </w:r>
    </w:p>
    <w:p w14:paraId="2556B489" w14:textId="77777777" w:rsidR="00E10521" w:rsidRDefault="00E10521">
      <w:pPr>
        <w:pBdr>
          <w:top w:val="nil"/>
          <w:left w:val="nil"/>
          <w:bottom w:val="nil"/>
          <w:right w:val="nil"/>
          <w:between w:val="nil"/>
        </w:pBdr>
        <w:spacing w:line="276" w:lineRule="auto"/>
        <w:jc w:val="both"/>
        <w:rPr>
          <w:rFonts w:ascii="Open Sans" w:eastAsia="Open Sans" w:hAnsi="Open Sans" w:cs="Open Sans"/>
        </w:rPr>
      </w:pPr>
    </w:p>
    <w:p w14:paraId="0A58C430" w14:textId="77777777" w:rsidR="00E10521" w:rsidRDefault="00000000">
      <w:pPr>
        <w:pBdr>
          <w:top w:val="nil"/>
          <w:left w:val="nil"/>
          <w:bottom w:val="nil"/>
          <w:right w:val="nil"/>
          <w:between w:val="nil"/>
        </w:pBdr>
        <w:spacing w:line="276" w:lineRule="auto"/>
        <w:jc w:val="both"/>
        <w:rPr>
          <w:rFonts w:ascii="Open Sans" w:eastAsia="Open Sans" w:hAnsi="Open Sans" w:cs="Open Sans"/>
        </w:rPr>
      </w:pPr>
      <w:r>
        <w:rPr>
          <w:rFonts w:ascii="Open Sans" w:eastAsia="Open Sans" w:hAnsi="Open Sans" w:cs="Open Sans"/>
        </w:rPr>
        <w:t xml:space="preserve">La demanda de segunda residencia supone actualmente el 11% del total de la demanda de vivienda en España. Este porcentaje aumenta respecto al primer semestre de 2025, cuando representaba el 10% del mercado, y también supera el nivel registrado en 2024, situado igualmente en torno al 10%. </w:t>
      </w:r>
      <w:r>
        <w:rPr>
          <w:rFonts w:ascii="Open Sans" w:eastAsia="Open Sans" w:hAnsi="Open Sans" w:cs="Open Sans"/>
          <w:b/>
          <w:bCs/>
        </w:rPr>
        <w:t>Estos datos reflejan que, pese a la complejidad del contexto residencial y al incremento de los precios experimentado en los últimos años, la vivienda destinada al disfrute vacacional o al uso ocasional mantiene una importante capacidad de atracción entre los españoles</w:t>
      </w:r>
      <w:r>
        <w:rPr>
          <w:rFonts w:ascii="Open Sans" w:eastAsia="Open Sans" w:hAnsi="Open Sans" w:cs="Open Sans"/>
        </w:rPr>
        <w:t>. La evolución de este indicador muestra además una estabilidad notable durante los últimos ejercicios, aunque el avance registrado en 2026 sitúa a la segunda residencia en su nivel más elevado de los últimos años dentro de la demanda residencial.</w:t>
      </w:r>
    </w:p>
    <w:p w14:paraId="0A6B25CE" w14:textId="77777777" w:rsidR="00E10521" w:rsidRDefault="00E10521">
      <w:pPr>
        <w:pBdr>
          <w:top w:val="nil"/>
          <w:left w:val="nil"/>
          <w:bottom w:val="nil"/>
          <w:right w:val="nil"/>
          <w:between w:val="nil"/>
        </w:pBdr>
        <w:spacing w:line="276" w:lineRule="auto"/>
        <w:jc w:val="both"/>
        <w:rPr>
          <w:rFonts w:ascii="Open Sans" w:eastAsia="Open Sans" w:hAnsi="Open Sans" w:cs="Open Sans"/>
        </w:rPr>
      </w:pPr>
    </w:p>
    <w:p w14:paraId="4B96046F" w14:textId="77777777" w:rsidR="00E10521" w:rsidRDefault="00E10521">
      <w:pPr>
        <w:pBdr>
          <w:top w:val="nil"/>
          <w:left w:val="nil"/>
          <w:bottom w:val="nil"/>
          <w:right w:val="nil"/>
          <w:between w:val="nil"/>
        </w:pBdr>
        <w:spacing w:line="276" w:lineRule="auto"/>
        <w:jc w:val="both"/>
        <w:rPr>
          <w:rFonts w:ascii="Open Sans" w:eastAsia="Open Sans" w:hAnsi="Open Sans" w:cs="Open Sans"/>
        </w:rPr>
      </w:pPr>
    </w:p>
    <w:p w14:paraId="553503CB" w14:textId="77777777" w:rsidR="00E10521" w:rsidRDefault="00000000">
      <w:pPr>
        <w:pBdr>
          <w:top w:val="nil"/>
          <w:left w:val="nil"/>
          <w:bottom w:val="nil"/>
          <w:right w:val="nil"/>
          <w:between w:val="nil"/>
        </w:pBdr>
        <w:spacing w:line="276" w:lineRule="auto"/>
        <w:jc w:val="center"/>
        <w:rPr>
          <w:rFonts w:ascii="National" w:eastAsia="National" w:hAnsi="National" w:cs="National"/>
          <w:color w:val="303AB2"/>
          <w:sz w:val="28"/>
          <w:szCs w:val="28"/>
        </w:rPr>
      </w:pPr>
      <w:r>
        <w:rPr>
          <w:rFonts w:ascii="National" w:eastAsia="National" w:hAnsi="National" w:cs="National"/>
          <w:color w:val="303AB2"/>
          <w:sz w:val="28"/>
          <w:szCs w:val="28"/>
        </w:rPr>
        <w:lastRenderedPageBreak/>
        <w:t>Penetración de la segunda residencia en la demanda total de vivienda</w:t>
      </w:r>
    </w:p>
    <w:p w14:paraId="6DDF6B0B" w14:textId="77777777" w:rsidR="00E10521" w:rsidRDefault="00000000">
      <w:pPr>
        <w:pBdr>
          <w:top w:val="nil"/>
          <w:left w:val="nil"/>
          <w:bottom w:val="nil"/>
          <w:right w:val="nil"/>
          <w:between w:val="nil"/>
        </w:pBdr>
        <w:spacing w:line="276" w:lineRule="auto"/>
        <w:jc w:val="center"/>
        <w:rPr>
          <w:rFonts w:ascii="National" w:eastAsia="National" w:hAnsi="National" w:cs="National"/>
          <w:b/>
          <w:bCs/>
          <w:color w:val="303AB2"/>
          <w:sz w:val="32"/>
          <w:szCs w:val="32"/>
        </w:rPr>
      </w:pPr>
      <w:r>
        <w:rPr>
          <w:noProof/>
        </w:rPr>
        <w:drawing>
          <wp:inline distT="0" distB="0" distL="0" distR="0" wp14:anchorId="0612BF2D" wp14:editId="183CDC05">
            <wp:extent cx="5334000" cy="2686488"/>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a:srcRect/>
                    <a:stretch>
                      <a:fillRect/>
                    </a:stretch>
                  </pic:blipFill>
                  <pic:spPr>
                    <a:xfrm>
                      <a:off x="0" y="0"/>
                      <a:ext cx="5334000" cy="2686488"/>
                    </a:xfrm>
                    <a:prstGeom prst="rect">
                      <a:avLst/>
                    </a:prstGeom>
                    <a:ln/>
                  </pic:spPr>
                </pic:pic>
              </a:graphicData>
            </a:graphic>
          </wp:inline>
        </w:drawing>
      </w:r>
    </w:p>
    <w:p w14:paraId="2F1A7F35" w14:textId="77777777" w:rsidR="00E10521" w:rsidRDefault="00E10521">
      <w:pPr>
        <w:pBdr>
          <w:top w:val="nil"/>
          <w:left w:val="nil"/>
          <w:bottom w:val="nil"/>
          <w:right w:val="nil"/>
          <w:between w:val="nil"/>
        </w:pBdr>
        <w:spacing w:line="276" w:lineRule="auto"/>
        <w:jc w:val="both"/>
        <w:rPr>
          <w:rFonts w:ascii="National" w:eastAsia="National" w:hAnsi="National" w:cs="National"/>
          <w:b/>
          <w:bCs/>
          <w:color w:val="303AB2"/>
          <w:sz w:val="32"/>
          <w:szCs w:val="32"/>
        </w:rPr>
      </w:pPr>
    </w:p>
    <w:p w14:paraId="268ED19F" w14:textId="77777777" w:rsidR="00E10521" w:rsidRDefault="00000000">
      <w:pPr>
        <w:pBdr>
          <w:top w:val="nil"/>
          <w:left w:val="nil"/>
          <w:bottom w:val="nil"/>
          <w:right w:val="nil"/>
          <w:between w:val="nil"/>
        </w:pBdr>
        <w:spacing w:line="276" w:lineRule="auto"/>
        <w:jc w:val="both"/>
        <w:rPr>
          <w:rFonts w:ascii="National" w:eastAsia="National" w:hAnsi="National" w:cs="National"/>
          <w:b/>
          <w:bCs/>
          <w:color w:val="303AB2"/>
          <w:sz w:val="32"/>
          <w:szCs w:val="32"/>
        </w:rPr>
      </w:pPr>
      <w:r>
        <w:rPr>
          <w:rFonts w:ascii="National" w:eastAsia="National" w:hAnsi="National" w:cs="National"/>
          <w:b/>
          <w:bCs/>
          <w:color w:val="303AB2"/>
          <w:sz w:val="32"/>
          <w:szCs w:val="32"/>
        </w:rPr>
        <w:t>La compra vuelve a distanciarse del alquiler</w:t>
      </w:r>
    </w:p>
    <w:p w14:paraId="500C9189" w14:textId="77777777" w:rsidR="00E10521" w:rsidRDefault="00E10521">
      <w:pPr>
        <w:pBdr>
          <w:top w:val="nil"/>
          <w:left w:val="nil"/>
          <w:bottom w:val="nil"/>
          <w:right w:val="nil"/>
          <w:between w:val="nil"/>
        </w:pBdr>
        <w:spacing w:line="276" w:lineRule="auto"/>
        <w:jc w:val="both"/>
        <w:rPr>
          <w:rFonts w:ascii="Open Sans" w:eastAsia="Open Sans" w:hAnsi="Open Sans" w:cs="Open Sans"/>
        </w:rPr>
      </w:pPr>
    </w:p>
    <w:p w14:paraId="0D380745" w14:textId="77777777" w:rsidR="00E10521" w:rsidRDefault="00000000">
      <w:pPr>
        <w:pBdr>
          <w:top w:val="nil"/>
          <w:left w:val="nil"/>
          <w:bottom w:val="nil"/>
          <w:right w:val="nil"/>
          <w:between w:val="nil"/>
        </w:pBdr>
        <w:spacing w:line="276" w:lineRule="auto"/>
        <w:jc w:val="both"/>
        <w:rPr>
          <w:rFonts w:ascii="Open Sans" w:eastAsia="Open Sans" w:hAnsi="Open Sans" w:cs="Open Sans"/>
        </w:rPr>
      </w:pPr>
      <w:r>
        <w:rPr>
          <w:rFonts w:ascii="Open Sans" w:eastAsia="Open Sans" w:hAnsi="Open Sans" w:cs="Open Sans"/>
        </w:rPr>
        <w:t xml:space="preserve">Si se analiza la composición de la demanda de segunda residencia, la compra continúa siendo la fórmula predominante. </w:t>
      </w:r>
      <w:r>
        <w:rPr>
          <w:rFonts w:ascii="Open Sans" w:eastAsia="Open Sans" w:hAnsi="Open Sans" w:cs="Open Sans"/>
          <w:b/>
          <w:bCs/>
        </w:rPr>
        <w:t>En el primer semestre de 2026, el 57% de los demandantes de una segunda vivienda busca adquirir un inmueble, frente al 43% que opta por alquilar</w:t>
      </w:r>
      <w:r>
        <w:rPr>
          <w:rFonts w:ascii="Open Sans" w:eastAsia="Open Sans" w:hAnsi="Open Sans" w:cs="Open Sans"/>
        </w:rPr>
        <w:t>. La diferencia entre ambas opciones se amplía respecto al año anterior. En el primer semestre de 2025, los compradores representaban el 54% de la demanda de segunda residencia, mientras que los inquilinos alcanzaban el 46%, reduciendo la distancia entre ambos grupos hasta mínimos recientes. Sin embargo, en 2026 la tendencia vuelve a inclinarse hacia la propiedad. El peso de los compradores aumenta tres puntos porcentuales, mientras que el de los inquilinos retrocede en la misma proporción, recuperándose así una brecha más amplia entre ambas modalidades.</w:t>
      </w:r>
    </w:p>
    <w:p w14:paraId="397B9505" w14:textId="77777777" w:rsidR="00E10521" w:rsidRDefault="00E10521">
      <w:pPr>
        <w:pBdr>
          <w:top w:val="nil"/>
          <w:left w:val="nil"/>
          <w:bottom w:val="nil"/>
          <w:right w:val="nil"/>
          <w:between w:val="nil"/>
        </w:pBdr>
        <w:spacing w:line="276" w:lineRule="auto"/>
        <w:jc w:val="both"/>
        <w:rPr>
          <w:rFonts w:ascii="Open Sans" w:eastAsia="Open Sans" w:hAnsi="Open Sans" w:cs="Open Sans"/>
        </w:rPr>
      </w:pPr>
    </w:p>
    <w:p w14:paraId="5510A812" w14:textId="77777777" w:rsidR="00E10521" w:rsidRDefault="00000000">
      <w:pPr>
        <w:pBdr>
          <w:top w:val="nil"/>
          <w:left w:val="nil"/>
          <w:bottom w:val="nil"/>
          <w:right w:val="nil"/>
          <w:between w:val="nil"/>
        </w:pBdr>
        <w:spacing w:line="276" w:lineRule="auto"/>
        <w:jc w:val="both"/>
        <w:rPr>
          <w:rFonts w:ascii="National" w:eastAsia="National" w:hAnsi="National" w:cs="National"/>
          <w:b/>
          <w:bCs/>
          <w:color w:val="303AB2"/>
          <w:sz w:val="32"/>
          <w:szCs w:val="32"/>
        </w:rPr>
      </w:pPr>
      <w:r>
        <w:rPr>
          <w:rFonts w:ascii="National" w:eastAsia="National" w:hAnsi="National" w:cs="National"/>
          <w:b/>
          <w:bCs/>
          <w:color w:val="303AB2"/>
          <w:sz w:val="32"/>
          <w:szCs w:val="32"/>
        </w:rPr>
        <w:t>Un mercado históricamente dominado por la propiedad</w:t>
      </w:r>
    </w:p>
    <w:p w14:paraId="7B0CB0C6" w14:textId="77777777" w:rsidR="00E10521" w:rsidRDefault="00E10521">
      <w:pPr>
        <w:pBdr>
          <w:top w:val="nil"/>
          <w:left w:val="nil"/>
          <w:bottom w:val="nil"/>
          <w:right w:val="nil"/>
          <w:between w:val="nil"/>
        </w:pBdr>
        <w:spacing w:line="276" w:lineRule="auto"/>
        <w:jc w:val="both"/>
        <w:rPr>
          <w:rFonts w:ascii="Open Sans" w:eastAsia="Open Sans" w:hAnsi="Open Sans" w:cs="Open Sans"/>
        </w:rPr>
      </w:pPr>
    </w:p>
    <w:p w14:paraId="30E68DE6" w14:textId="77777777" w:rsidR="00E10521" w:rsidRDefault="00000000">
      <w:pPr>
        <w:pBdr>
          <w:top w:val="nil"/>
          <w:left w:val="nil"/>
          <w:bottom w:val="nil"/>
          <w:right w:val="nil"/>
          <w:between w:val="nil"/>
        </w:pBdr>
        <w:spacing w:line="276" w:lineRule="auto"/>
        <w:jc w:val="both"/>
        <w:rPr>
          <w:rFonts w:ascii="Open Sans" w:eastAsia="Open Sans" w:hAnsi="Open Sans" w:cs="Open Sans"/>
        </w:rPr>
      </w:pPr>
      <w:r>
        <w:rPr>
          <w:rFonts w:ascii="Open Sans" w:eastAsia="Open Sans" w:hAnsi="Open Sans" w:cs="Open Sans"/>
        </w:rPr>
        <w:t xml:space="preserve">La preferencia por la compra no es una novedad en el segmento de la segunda residencia. De hecho, </w:t>
      </w:r>
      <w:r>
        <w:rPr>
          <w:rFonts w:ascii="Open Sans" w:eastAsia="Open Sans" w:hAnsi="Open Sans" w:cs="Open Sans"/>
          <w:b/>
          <w:bCs/>
        </w:rPr>
        <w:t>la adquisición de una vivienda para uso vacacional o estacional ha sido la opción mayoritaria entre los españoles durante los últimos años</w:t>
      </w:r>
      <w:r>
        <w:rPr>
          <w:rFonts w:ascii="Open Sans" w:eastAsia="Open Sans" w:hAnsi="Open Sans" w:cs="Open Sans"/>
        </w:rPr>
        <w:t xml:space="preserve">. Por ejemplo, en 2024, el 59% de los demandantes de segunda residencia apostaba por la compra, frente al 41% que se inclinaba por el alquiler, una tendencia que fue constante también en los años 2022 y 2023. Sin embargo, esta realidad difiere del periodo de la pandemia, cuando los porcentajes eran </w:t>
      </w:r>
      <w:r>
        <w:rPr>
          <w:rFonts w:ascii="Open Sans" w:eastAsia="Open Sans" w:hAnsi="Open Sans" w:cs="Open Sans"/>
        </w:rPr>
        <w:lastRenderedPageBreak/>
        <w:t>inversos a los actuales. El punto de inflexión comenzó en 2020, cuando el alquiler alcanzó una demanda del 60% (frente a una preferencia del 40% por la demanda de segundas residencias en propiedad), antes de empezar a perder prevalencia en el siguiente lustro.</w:t>
      </w:r>
    </w:p>
    <w:p w14:paraId="17DE6EAC" w14:textId="77777777" w:rsidR="00E10521" w:rsidRDefault="00E10521">
      <w:pPr>
        <w:pBdr>
          <w:top w:val="nil"/>
          <w:left w:val="nil"/>
          <w:bottom w:val="nil"/>
          <w:right w:val="nil"/>
          <w:between w:val="nil"/>
        </w:pBdr>
        <w:spacing w:line="276" w:lineRule="auto"/>
        <w:jc w:val="both"/>
        <w:rPr>
          <w:rFonts w:ascii="Open Sans" w:eastAsia="Open Sans" w:hAnsi="Open Sans" w:cs="Open Sans"/>
        </w:rPr>
      </w:pPr>
    </w:p>
    <w:p w14:paraId="4B488637" w14:textId="77777777" w:rsidR="00E10521" w:rsidRDefault="00E10521">
      <w:pPr>
        <w:pBdr>
          <w:top w:val="nil"/>
          <w:left w:val="nil"/>
          <w:bottom w:val="nil"/>
          <w:right w:val="nil"/>
          <w:between w:val="nil"/>
        </w:pBdr>
        <w:spacing w:line="276" w:lineRule="auto"/>
        <w:jc w:val="both"/>
        <w:rPr>
          <w:rFonts w:ascii="Open Sans" w:eastAsia="Open Sans" w:hAnsi="Open Sans" w:cs="Open Sans"/>
        </w:rPr>
      </w:pPr>
    </w:p>
    <w:p w14:paraId="3851BBA1" w14:textId="77777777" w:rsidR="00E10521" w:rsidRDefault="00E10521">
      <w:pPr>
        <w:pBdr>
          <w:top w:val="nil"/>
          <w:left w:val="nil"/>
          <w:bottom w:val="nil"/>
          <w:right w:val="nil"/>
          <w:between w:val="nil"/>
        </w:pBdr>
        <w:spacing w:line="276" w:lineRule="auto"/>
        <w:jc w:val="both"/>
        <w:rPr>
          <w:rFonts w:ascii="Open Sans" w:eastAsia="Open Sans" w:hAnsi="Open Sans" w:cs="Open Sans"/>
        </w:rPr>
      </w:pPr>
    </w:p>
    <w:p w14:paraId="3297EC8D" w14:textId="77777777" w:rsidR="00E10521" w:rsidRDefault="00000000">
      <w:pPr>
        <w:spacing w:line="276" w:lineRule="auto"/>
        <w:ind w:right="-284"/>
        <w:jc w:val="right"/>
        <w:rPr>
          <w:rFonts w:ascii="Open Sans Light" w:eastAsia="Open Sans Light" w:hAnsi="Open Sans Light" w:cs="Open Sans Light"/>
          <w:b/>
          <w:bCs/>
          <w:color w:val="303AB2"/>
        </w:rPr>
      </w:pPr>
      <w:r>
        <w:rPr>
          <w:rFonts w:ascii="Open Sans Light" w:eastAsia="Open Sans Light" w:hAnsi="Open Sans Light" w:cs="Open Sans Light"/>
          <w:b/>
          <w:bCs/>
          <w:color w:val="303AB2"/>
        </w:rPr>
        <w:t>Sobre Fotocasa</w:t>
      </w:r>
    </w:p>
    <w:p w14:paraId="095AA7A1" w14:textId="77777777" w:rsidR="00E10521" w:rsidRDefault="00000000">
      <w:pPr>
        <w:shd w:val="clear" w:color="auto" w:fill="FFFFFF"/>
        <w:spacing w:before="280" w:after="280" w:line="276" w:lineRule="auto"/>
        <w:ind w:right="-284"/>
        <w:jc w:val="both"/>
        <w:rPr>
          <w:rFonts w:ascii="Open Sans" w:eastAsia="Open Sans" w:hAnsi="Open Sans" w:cs="Open Sans"/>
          <w:sz w:val="22"/>
          <w:szCs w:val="22"/>
        </w:rPr>
      </w:pPr>
      <w:r>
        <w:rPr>
          <w:rFonts w:ascii="Open Sans" w:eastAsia="Open Sans" w:hAnsi="Open Sans" w:cs="Open Sans"/>
          <w:sz w:val="22"/>
          <w:szCs w:val="22"/>
        </w:rPr>
        <w:t xml:space="preserve">Fotocasa es uno de los principales portales inmobiliarios de España, con una amplia oferta de viviendas de segunda mano, promociones de obra nueva y alquileres que pertenece a </w:t>
      </w:r>
      <w:r>
        <w:rPr>
          <w:rFonts w:ascii="Open Sans" w:eastAsia="Open Sans" w:hAnsi="Open Sans" w:cs="Open Sans"/>
          <w:b/>
          <w:bCs/>
          <w:sz w:val="22"/>
          <w:szCs w:val="22"/>
        </w:rPr>
        <w:t>Fotocasa Group</w:t>
      </w:r>
      <w:r>
        <w:rPr>
          <w:rFonts w:ascii="Open Sans" w:eastAsia="Open Sans" w:hAnsi="Open Sans" w:cs="Open Sans"/>
          <w:sz w:val="22"/>
          <w:szCs w:val="22"/>
        </w:rPr>
        <w:t xml:space="preserve">. </w:t>
      </w:r>
    </w:p>
    <w:p w14:paraId="75DD8D1F" w14:textId="77777777" w:rsidR="00E10521" w:rsidRDefault="00000000">
      <w:pPr>
        <w:shd w:val="clear" w:color="auto" w:fill="FFFFFF"/>
        <w:spacing w:before="280" w:after="280" w:line="276" w:lineRule="auto"/>
        <w:ind w:right="-284"/>
        <w:jc w:val="both"/>
        <w:rPr>
          <w:rFonts w:ascii="Open Sans" w:eastAsia="Open Sans" w:hAnsi="Open Sans" w:cs="Open Sans"/>
          <w:sz w:val="22"/>
          <w:szCs w:val="22"/>
        </w:rPr>
      </w:pPr>
      <w:r>
        <w:rPr>
          <w:rFonts w:ascii="Open Sans" w:eastAsia="Open Sans" w:hAnsi="Open Sans" w:cs="Open Sans"/>
          <w:sz w:val="22"/>
          <w:szCs w:val="22"/>
        </w:rPr>
        <w:t xml:space="preserve">Mensualmente, elabora el </w:t>
      </w:r>
      <w:hyperlink r:id="rId13">
        <w:r>
          <w:rPr>
            <w:rFonts w:ascii="Open Sans" w:eastAsia="Open Sans" w:hAnsi="Open Sans" w:cs="Open Sans"/>
            <w:b/>
            <w:bCs/>
            <w:color w:val="0000FF"/>
            <w:sz w:val="22"/>
            <w:szCs w:val="22"/>
            <w:u w:val="single"/>
          </w:rPr>
          <w:t>Índice inmobiliario Fotocasa</w:t>
        </w:r>
      </w:hyperlink>
      <w:r>
        <w:rPr>
          <w:rFonts w:ascii="Open Sans" w:eastAsia="Open Sans" w:hAnsi="Open Sans" w:cs="Open Sans"/>
          <w:sz w:val="22"/>
          <w:szCs w:val="22"/>
        </w:rPr>
        <w:t xml:space="preserve">, un informe de referencia que analiza la evolución del precio medio de la vivienda en España, tanto en venta como en alquiler. Desde 2017, desarrolla además estudios sociológicos bajo el sello </w:t>
      </w:r>
      <w:hyperlink r:id="rId14">
        <w:r>
          <w:rPr>
            <w:rFonts w:ascii="Open Sans" w:eastAsia="Open Sans" w:hAnsi="Open Sans" w:cs="Open Sans"/>
            <w:b/>
            <w:bCs/>
            <w:color w:val="0000FF"/>
            <w:sz w:val="22"/>
            <w:szCs w:val="22"/>
            <w:u w:val="single"/>
          </w:rPr>
          <w:t>Fotocasa Research</w:t>
        </w:r>
      </w:hyperlink>
      <w:r>
        <w:rPr>
          <w:rFonts w:ascii="Open Sans" w:eastAsia="Open Sans" w:hAnsi="Open Sans" w:cs="Open Sans"/>
          <w:sz w:val="22"/>
          <w:szCs w:val="22"/>
        </w:rPr>
        <w:t>, con el objetivo de aportar conocimiento y análisis en profundidad sobre las tendencias del mercado y el comportamiento de los ciudadanos en relación con la vivienda.</w:t>
      </w:r>
    </w:p>
    <w:p w14:paraId="4F7BE2F6" w14:textId="77777777" w:rsidR="00E10521" w:rsidRDefault="00000000">
      <w:pPr>
        <w:shd w:val="clear" w:color="auto" w:fill="FFFFFF"/>
        <w:spacing w:before="280" w:after="280" w:line="276" w:lineRule="auto"/>
        <w:ind w:right="-284"/>
        <w:jc w:val="both"/>
        <w:rPr>
          <w:rFonts w:ascii="Open Sans" w:eastAsia="Open Sans" w:hAnsi="Open Sans" w:cs="Open Sans"/>
          <w:sz w:val="22"/>
          <w:szCs w:val="22"/>
        </w:rPr>
      </w:pPr>
      <w:r>
        <w:rPr>
          <w:rFonts w:ascii="Open Sans" w:eastAsia="Open Sans" w:hAnsi="Open Sans" w:cs="Open Sans"/>
          <w:sz w:val="22"/>
          <w:szCs w:val="22"/>
        </w:rPr>
        <w:t xml:space="preserve">Toda la información y los últimos comunicados están disponibles en su </w:t>
      </w:r>
      <w:hyperlink r:id="rId15">
        <w:r>
          <w:rPr>
            <w:rFonts w:ascii="Open Sans" w:eastAsia="Open Sans" w:hAnsi="Open Sans" w:cs="Open Sans"/>
            <w:b/>
            <w:bCs/>
            <w:color w:val="0000FF"/>
            <w:sz w:val="22"/>
            <w:szCs w:val="22"/>
            <w:u w:val="single"/>
          </w:rPr>
          <w:t>Sala de Prensa</w:t>
        </w:r>
      </w:hyperlink>
    </w:p>
    <w:p w14:paraId="5EBEC537" w14:textId="77777777" w:rsidR="00E10521" w:rsidRDefault="00E10521">
      <w:pPr>
        <w:spacing w:line="276" w:lineRule="auto"/>
        <w:ind w:right="-284"/>
        <w:rPr>
          <w:rFonts w:ascii="Open Sans Light" w:eastAsia="Open Sans Light" w:hAnsi="Open Sans Light" w:cs="Open Sans Light"/>
          <w:b/>
          <w:bCs/>
          <w:color w:val="303AB2"/>
        </w:rPr>
      </w:pPr>
    </w:p>
    <w:p w14:paraId="57A0C49E" w14:textId="77777777" w:rsidR="00E10521" w:rsidRDefault="00000000">
      <w:pPr>
        <w:spacing w:line="276" w:lineRule="auto"/>
        <w:ind w:right="-284"/>
        <w:jc w:val="right"/>
        <w:rPr>
          <w:rFonts w:ascii="Open Sans Light" w:eastAsia="Open Sans Light" w:hAnsi="Open Sans Light" w:cs="Open Sans Light"/>
          <w:b/>
          <w:bCs/>
          <w:color w:val="303AB2"/>
        </w:rPr>
      </w:pPr>
      <w:r>
        <w:rPr>
          <w:rFonts w:ascii="Open Sans Light" w:eastAsia="Open Sans Light" w:hAnsi="Open Sans Light" w:cs="Open Sans Light"/>
          <w:b/>
          <w:bCs/>
          <w:color w:val="303AB2"/>
        </w:rPr>
        <w:t>Sobre Fotocasa Group</w:t>
      </w:r>
    </w:p>
    <w:p w14:paraId="4DA3C1FB" w14:textId="77777777" w:rsidR="00E10521" w:rsidRDefault="00000000">
      <w:pPr>
        <w:shd w:val="clear" w:color="auto" w:fill="FFFFFF"/>
        <w:spacing w:before="280" w:after="280" w:line="276" w:lineRule="auto"/>
        <w:ind w:right="-284"/>
        <w:jc w:val="both"/>
        <w:rPr>
          <w:rFonts w:ascii="Open Sans" w:eastAsia="Open Sans" w:hAnsi="Open Sans" w:cs="Open Sans"/>
          <w:sz w:val="22"/>
          <w:szCs w:val="22"/>
        </w:rPr>
      </w:pPr>
      <w:r>
        <w:rPr>
          <w:rFonts w:ascii="Open Sans" w:eastAsia="Open Sans" w:hAnsi="Open Sans" w:cs="Open Sans"/>
          <w:b/>
          <w:bCs/>
          <w:sz w:val="22"/>
          <w:szCs w:val="22"/>
        </w:rPr>
        <w:t>Fotocasa Group</w:t>
      </w:r>
      <w:r>
        <w:rPr>
          <w:rFonts w:ascii="Open Sans" w:eastAsia="Open Sans" w:hAnsi="Open Sans" w:cs="Open Sans"/>
          <w:sz w:val="22"/>
          <w:szCs w:val="22"/>
        </w:rPr>
        <w:t xml:space="preserve"> es un referente del sector inmobiliario en España, </w:t>
      </w:r>
      <w:r>
        <w:rPr>
          <w:rFonts w:ascii="Open Sans" w:eastAsia="Open Sans" w:hAnsi="Open Sans" w:cs="Open Sans"/>
          <w:b/>
          <w:bCs/>
          <w:sz w:val="22"/>
          <w:szCs w:val="22"/>
        </w:rPr>
        <w:t>con más de 25 años de experiencia</w:t>
      </w:r>
      <w:r>
        <w:rPr>
          <w:rFonts w:ascii="Open Sans" w:eastAsia="Open Sans" w:hAnsi="Open Sans" w:cs="Open Sans"/>
          <w:sz w:val="22"/>
          <w:szCs w:val="22"/>
        </w:rPr>
        <w:t> liderando la transformación del real estate a través de la innovación, los datos y la tecnología.</w:t>
      </w:r>
    </w:p>
    <w:p w14:paraId="1E559932" w14:textId="77777777" w:rsidR="00E10521" w:rsidRDefault="00000000">
      <w:pPr>
        <w:shd w:val="clear" w:color="auto" w:fill="FFFFFF"/>
        <w:spacing w:before="280" w:after="280" w:line="276" w:lineRule="auto"/>
        <w:ind w:right="-284"/>
        <w:jc w:val="both"/>
        <w:rPr>
          <w:rFonts w:ascii="Open Sans" w:eastAsia="Open Sans" w:hAnsi="Open Sans" w:cs="Open Sans"/>
          <w:sz w:val="22"/>
          <w:szCs w:val="22"/>
        </w:rPr>
      </w:pPr>
      <w:r>
        <w:rPr>
          <w:rFonts w:ascii="Open Sans" w:eastAsia="Open Sans" w:hAnsi="Open Sans" w:cs="Open Sans"/>
          <w:sz w:val="22"/>
          <w:szCs w:val="22"/>
        </w:rPr>
        <w:t>Bajo su marca paraguas, Fotocasa Group impulsa y da visibilidad a un ecosistema de marcas líderes —</w:t>
      </w:r>
      <w:hyperlink r:id="rId16">
        <w:r>
          <w:rPr>
            <w:rFonts w:ascii="Open Sans" w:eastAsia="Open Sans" w:hAnsi="Open Sans" w:cs="Open Sans"/>
            <w:b/>
            <w:bCs/>
            <w:color w:val="0000FF"/>
            <w:sz w:val="22"/>
            <w:szCs w:val="22"/>
            <w:u w:val="single"/>
          </w:rPr>
          <w:t>Fotocasa</w:t>
        </w:r>
      </w:hyperlink>
      <w:r>
        <w:rPr>
          <w:rFonts w:ascii="Open Sans" w:eastAsia="Open Sans" w:hAnsi="Open Sans" w:cs="Open Sans"/>
          <w:sz w:val="22"/>
          <w:szCs w:val="22"/>
        </w:rPr>
        <w:t xml:space="preserve">, </w:t>
      </w:r>
      <w:hyperlink r:id="rId17">
        <w:r>
          <w:rPr>
            <w:rFonts w:ascii="Open Sans" w:eastAsia="Open Sans" w:hAnsi="Open Sans" w:cs="Open Sans"/>
            <w:b/>
            <w:bCs/>
            <w:color w:val="0000FF"/>
            <w:sz w:val="22"/>
            <w:szCs w:val="22"/>
            <w:u w:val="single"/>
          </w:rPr>
          <w:t>habitaclia</w:t>
        </w:r>
      </w:hyperlink>
      <w:r>
        <w:rPr>
          <w:rFonts w:ascii="Open Sans" w:eastAsia="Open Sans" w:hAnsi="Open Sans" w:cs="Open Sans"/>
          <w:sz w:val="22"/>
          <w:szCs w:val="22"/>
        </w:rPr>
        <w:t xml:space="preserve">, </w:t>
      </w:r>
      <w:hyperlink r:id="rId18">
        <w:r>
          <w:rPr>
            <w:rFonts w:ascii="Open Sans" w:eastAsia="Open Sans" w:hAnsi="Open Sans" w:cs="Open Sans"/>
            <w:b/>
            <w:bCs/>
            <w:color w:val="0000FF"/>
            <w:sz w:val="22"/>
            <w:szCs w:val="22"/>
            <w:u w:val="single"/>
          </w:rPr>
          <w:t>Fotocasa Pro</w:t>
        </w:r>
      </w:hyperlink>
      <w:r>
        <w:rPr>
          <w:rFonts w:ascii="Open Sans" w:eastAsia="Open Sans" w:hAnsi="Open Sans" w:cs="Open Sans"/>
          <w:sz w:val="22"/>
          <w:szCs w:val="22"/>
        </w:rPr>
        <w:t xml:space="preserve">, </w:t>
      </w:r>
      <w:hyperlink r:id="rId19">
        <w:r>
          <w:rPr>
            <w:rFonts w:ascii="Open Sans" w:eastAsia="Open Sans" w:hAnsi="Open Sans" w:cs="Open Sans"/>
            <w:b/>
            <w:bCs/>
            <w:color w:val="0000FF"/>
            <w:sz w:val="22"/>
            <w:szCs w:val="22"/>
            <w:u w:val="single"/>
          </w:rPr>
          <w:t>Datavenues</w:t>
        </w:r>
      </w:hyperlink>
      <w:r>
        <w:rPr>
          <w:rFonts w:ascii="Open Sans" w:eastAsia="Open Sans" w:hAnsi="Open Sans" w:cs="Open Sans"/>
          <w:sz w:val="22"/>
          <w:szCs w:val="22"/>
        </w:rPr>
        <w:t xml:space="preserve">, </w:t>
      </w:r>
      <w:hyperlink r:id="rId20">
        <w:r>
          <w:rPr>
            <w:rFonts w:ascii="Open Sans" w:eastAsia="Open Sans" w:hAnsi="Open Sans" w:cs="Open Sans"/>
            <w:b/>
            <w:bCs/>
            <w:color w:val="0000FF"/>
            <w:sz w:val="22"/>
            <w:szCs w:val="22"/>
            <w:u w:val="single"/>
          </w:rPr>
          <w:t>Witei</w:t>
        </w:r>
      </w:hyperlink>
      <w:r>
        <w:rPr>
          <w:rFonts w:ascii="Open Sans" w:eastAsia="Open Sans" w:hAnsi="Open Sans" w:cs="Open Sans"/>
          <w:sz w:val="22"/>
          <w:szCs w:val="22"/>
        </w:rPr>
        <w:t xml:space="preserve"> e </w:t>
      </w:r>
      <w:hyperlink r:id="rId21">
        <w:r>
          <w:rPr>
            <w:rFonts w:ascii="Open Sans" w:eastAsia="Open Sans" w:hAnsi="Open Sans" w:cs="Open Sans"/>
            <w:b/>
            <w:bCs/>
            <w:color w:val="0000FF"/>
            <w:sz w:val="22"/>
            <w:szCs w:val="22"/>
          </w:rPr>
          <w:t>Inmoweb</w:t>
        </w:r>
      </w:hyperlink>
      <w:r>
        <w:rPr>
          <w:rFonts w:ascii="Open Sans" w:eastAsia="Open Sans" w:hAnsi="Open Sans" w:cs="Open Sans"/>
          <w:sz w:val="22"/>
          <w:szCs w:val="22"/>
        </w:rPr>
        <w:t xml:space="preserve">— que ofrecen soluciones integrales tanto </w:t>
      </w:r>
      <w:r>
        <w:rPr>
          <w:rFonts w:ascii="Open Sans" w:eastAsia="Open Sans" w:hAnsi="Open Sans" w:cs="Open Sans"/>
          <w:b/>
          <w:bCs/>
          <w:sz w:val="22"/>
          <w:szCs w:val="22"/>
        </w:rPr>
        <w:t>para particulares como para profesionales del sector</w:t>
      </w:r>
      <w:r>
        <w:rPr>
          <w:rFonts w:ascii="Open Sans" w:eastAsia="Open Sans" w:hAnsi="Open Sans" w:cs="Open Sans"/>
          <w:sz w:val="22"/>
          <w:szCs w:val="22"/>
        </w:rPr>
        <w:t>.</w:t>
      </w:r>
    </w:p>
    <w:p w14:paraId="54E2D2ED" w14:textId="77777777" w:rsidR="00E10521" w:rsidRDefault="00000000">
      <w:pPr>
        <w:shd w:val="clear" w:color="auto" w:fill="FFFFFF"/>
        <w:spacing w:before="280" w:after="280" w:line="276" w:lineRule="auto"/>
        <w:ind w:right="-284"/>
        <w:jc w:val="both"/>
        <w:rPr>
          <w:rFonts w:ascii="Open Sans" w:eastAsia="Open Sans" w:hAnsi="Open Sans" w:cs="Open Sans"/>
          <w:sz w:val="22"/>
          <w:szCs w:val="22"/>
        </w:rPr>
      </w:pPr>
      <w:r>
        <w:rPr>
          <w:rFonts w:ascii="Open Sans" w:eastAsia="Open Sans" w:hAnsi="Open Sans" w:cs="Open Sans"/>
          <w:b/>
          <w:bCs/>
          <w:sz w:val="22"/>
          <w:szCs w:val="22"/>
        </w:rPr>
        <w:t>Fotocasa</w:t>
      </w:r>
      <w:r>
        <w:rPr>
          <w:rFonts w:ascii="Open Sans" w:eastAsia="Open Sans" w:hAnsi="Open Sans" w:cs="Open Sans"/>
          <w:sz w:val="22"/>
          <w:szCs w:val="22"/>
        </w:rPr>
        <w:t>, la marca insignia del grupo, conecta cada día a </w:t>
      </w:r>
      <w:r>
        <w:rPr>
          <w:rFonts w:ascii="Open Sans" w:eastAsia="Open Sans" w:hAnsi="Open Sans" w:cs="Open Sans"/>
          <w:b/>
          <w:bCs/>
          <w:sz w:val="22"/>
          <w:szCs w:val="22"/>
        </w:rPr>
        <w:t>millones de personas con su próximo hogar</w:t>
      </w:r>
      <w:r>
        <w:rPr>
          <w:rFonts w:ascii="Open Sans" w:eastAsia="Open Sans" w:hAnsi="Open Sans" w:cs="Open Sans"/>
          <w:sz w:val="22"/>
          <w:szCs w:val="22"/>
        </w:rPr>
        <w:t>, ofreciendo la mayor oferta de viviendas de segunda mano, obra nueva, alquiler y compraventa, junto con análisis y contenidos que la consolidan como un auténtico </w:t>
      </w:r>
      <w:r>
        <w:rPr>
          <w:rFonts w:ascii="Open Sans" w:eastAsia="Open Sans" w:hAnsi="Open Sans" w:cs="Open Sans"/>
          <w:b/>
          <w:bCs/>
          <w:sz w:val="22"/>
          <w:szCs w:val="22"/>
        </w:rPr>
        <w:t>referente del mercado inmobiliario</w:t>
      </w:r>
      <w:r>
        <w:rPr>
          <w:rFonts w:ascii="Open Sans" w:eastAsia="Open Sans" w:hAnsi="Open Sans" w:cs="Open Sans"/>
          <w:sz w:val="22"/>
          <w:szCs w:val="22"/>
        </w:rPr>
        <w:t>.</w:t>
      </w:r>
    </w:p>
    <w:p w14:paraId="1CC2BE0B" w14:textId="77777777" w:rsidR="00E10521" w:rsidRDefault="00000000">
      <w:pPr>
        <w:spacing w:line="276" w:lineRule="auto"/>
        <w:ind w:right="-284"/>
        <w:jc w:val="both"/>
        <w:rPr>
          <w:rFonts w:ascii="Open Sans" w:eastAsia="Open Sans" w:hAnsi="Open Sans" w:cs="Open Sans"/>
          <w:sz w:val="22"/>
          <w:szCs w:val="22"/>
        </w:rPr>
      </w:pPr>
      <w:r>
        <w:rPr>
          <w:rFonts w:ascii="Open Sans" w:eastAsia="Open Sans" w:hAnsi="Open Sans" w:cs="Open Sans"/>
          <w:b/>
          <w:bCs/>
          <w:sz w:val="22"/>
          <w:szCs w:val="22"/>
        </w:rPr>
        <w:t>Fotocasa Group forma parte de Scout24</w:t>
      </w:r>
      <w:r>
        <w:rPr>
          <w:rFonts w:ascii="Open Sans" w:eastAsia="Open Sans" w:hAnsi="Open Sans" w:cs="Open Sans"/>
          <w:sz w:val="22"/>
          <w:szCs w:val="22"/>
        </w:rPr>
        <w:t xml:space="preserve">, el grupo tecnológico alemán líder en Europa que opera </w:t>
      </w:r>
      <w:r>
        <w:rPr>
          <w:rFonts w:ascii="Open Sans" w:eastAsia="Open Sans" w:hAnsi="Open Sans" w:cs="Open Sans"/>
          <w:b/>
          <w:bCs/>
          <w:sz w:val="22"/>
          <w:szCs w:val="22"/>
        </w:rPr>
        <w:t>ImmoScout24</w:t>
      </w:r>
      <w:r>
        <w:rPr>
          <w:rFonts w:ascii="Open Sans" w:eastAsia="Open Sans" w:hAnsi="Open Sans" w:cs="Open Sans"/>
          <w:sz w:val="22"/>
          <w:szCs w:val="22"/>
        </w:rPr>
        <w:t xml:space="preserve">. </w:t>
      </w:r>
    </w:p>
    <w:p w14:paraId="76016DB5" w14:textId="77777777" w:rsidR="00E10521" w:rsidRDefault="00E10521">
      <w:pPr>
        <w:spacing w:line="276" w:lineRule="auto"/>
        <w:ind w:right="-284"/>
        <w:jc w:val="both"/>
        <w:rPr>
          <w:rFonts w:ascii="Open Sans" w:eastAsia="Open Sans" w:hAnsi="Open Sans" w:cs="Open Sans"/>
          <w:sz w:val="22"/>
          <w:szCs w:val="22"/>
        </w:rPr>
      </w:pPr>
    </w:p>
    <w:p w14:paraId="2FDA9E0F" w14:textId="77777777" w:rsidR="00E10521" w:rsidRDefault="00000000">
      <w:pPr>
        <w:spacing w:line="276" w:lineRule="auto"/>
        <w:ind w:right="-284"/>
        <w:jc w:val="right"/>
        <w:rPr>
          <w:rFonts w:ascii="Open Sans Light" w:eastAsia="Open Sans Light" w:hAnsi="Open Sans Light" w:cs="Open Sans Light"/>
          <w:b/>
          <w:bCs/>
          <w:color w:val="303AB2"/>
        </w:rPr>
      </w:pPr>
      <w:r>
        <w:rPr>
          <w:rFonts w:ascii="Open Sans Light" w:eastAsia="Open Sans Light" w:hAnsi="Open Sans Light" w:cs="Open Sans Light"/>
          <w:b/>
          <w:bCs/>
          <w:color w:val="303AB2"/>
        </w:rPr>
        <w:lastRenderedPageBreak/>
        <w:t>Sobre Scout24</w:t>
      </w:r>
    </w:p>
    <w:p w14:paraId="70EE6F1A" w14:textId="77777777" w:rsidR="00E10521" w:rsidRDefault="00E10521">
      <w:pPr>
        <w:pBdr>
          <w:top w:val="nil"/>
          <w:left w:val="nil"/>
          <w:bottom w:val="nil"/>
          <w:right w:val="nil"/>
          <w:between w:val="nil"/>
        </w:pBdr>
        <w:spacing w:line="276" w:lineRule="auto"/>
        <w:ind w:right="-284"/>
        <w:jc w:val="both"/>
        <w:rPr>
          <w:rFonts w:ascii="Open Sans" w:eastAsia="Open Sans" w:hAnsi="Open Sans" w:cs="Open Sans"/>
          <w:sz w:val="22"/>
          <w:szCs w:val="22"/>
        </w:rPr>
      </w:pPr>
    </w:p>
    <w:p w14:paraId="0629277E" w14:textId="77777777" w:rsidR="00E10521" w:rsidRDefault="00000000">
      <w:pPr>
        <w:pBdr>
          <w:top w:val="nil"/>
          <w:left w:val="nil"/>
          <w:bottom w:val="nil"/>
          <w:right w:val="nil"/>
          <w:between w:val="nil"/>
        </w:pBdr>
        <w:spacing w:line="276" w:lineRule="auto"/>
        <w:ind w:right="-284"/>
        <w:jc w:val="both"/>
        <w:rPr>
          <w:rFonts w:ascii="Open Sans" w:eastAsia="Open Sans" w:hAnsi="Open Sans" w:cs="Open Sans"/>
          <w:sz w:val="22"/>
          <w:szCs w:val="22"/>
        </w:rPr>
      </w:pPr>
      <w:r>
        <w:rPr>
          <w:rFonts w:ascii="Open Sans" w:eastAsia="Open Sans" w:hAnsi="Open Sans" w:cs="Open Sans"/>
          <w:b/>
          <w:bCs/>
          <w:sz w:val="22"/>
          <w:szCs w:val="22"/>
        </w:rPr>
        <w:t>Scout24 es una de las empresas tecnológicas líderes en Alemania</w:t>
      </w:r>
      <w:r>
        <w:rPr>
          <w:rFonts w:ascii="Open Sans" w:eastAsia="Open Sans" w:hAnsi="Open Sans" w:cs="Open Sans"/>
          <w:sz w:val="22"/>
          <w:szCs w:val="22"/>
        </w:rPr>
        <w:t xml:space="preserve">. Con el marketplace </w:t>
      </w:r>
      <w:hyperlink r:id="rId22">
        <w:r>
          <w:rPr>
            <w:rFonts w:ascii="Open Sans" w:eastAsia="Open Sans" w:hAnsi="Open Sans" w:cs="Open Sans"/>
            <w:color w:val="0000FF"/>
            <w:sz w:val="22"/>
            <w:szCs w:val="22"/>
            <w:u w:val="single"/>
          </w:rPr>
          <w:t>ImmoScout24</w:t>
        </w:r>
      </w:hyperlink>
      <w:r>
        <w:rPr>
          <w:rFonts w:ascii="Open Sans" w:eastAsia="Open Sans" w:hAnsi="Open Sans" w:cs="Open Sans"/>
          <w:sz w:val="22"/>
          <w:szCs w:val="22"/>
        </w:rPr>
        <w:t xml:space="preserve">, especializado en el sector residencial y comercial, conectamos con éxito a propietarios, agentes inmobiliarios, inquilinos y compradores desde hace más de 25 años. </w:t>
      </w:r>
    </w:p>
    <w:p w14:paraId="73DCC7BD" w14:textId="77777777" w:rsidR="00E10521" w:rsidRDefault="00E10521">
      <w:pPr>
        <w:pBdr>
          <w:top w:val="nil"/>
          <w:left w:val="nil"/>
          <w:bottom w:val="nil"/>
          <w:right w:val="nil"/>
          <w:between w:val="nil"/>
        </w:pBdr>
        <w:spacing w:line="276" w:lineRule="auto"/>
        <w:ind w:right="-284"/>
        <w:jc w:val="both"/>
        <w:rPr>
          <w:rFonts w:ascii="Open Sans" w:eastAsia="Open Sans" w:hAnsi="Open Sans" w:cs="Open Sans"/>
          <w:sz w:val="22"/>
          <w:szCs w:val="22"/>
        </w:rPr>
      </w:pPr>
    </w:p>
    <w:p w14:paraId="77E79BFC" w14:textId="77777777" w:rsidR="00E10521" w:rsidRDefault="00000000">
      <w:pPr>
        <w:pBdr>
          <w:top w:val="nil"/>
          <w:left w:val="nil"/>
          <w:bottom w:val="nil"/>
          <w:right w:val="nil"/>
          <w:between w:val="nil"/>
        </w:pBdr>
        <w:spacing w:line="276" w:lineRule="auto"/>
        <w:ind w:right="-284"/>
        <w:jc w:val="both"/>
        <w:rPr>
          <w:rFonts w:ascii="Open Sans" w:eastAsia="Open Sans" w:hAnsi="Open Sans" w:cs="Open Sans"/>
          <w:sz w:val="22"/>
          <w:szCs w:val="22"/>
        </w:rPr>
      </w:pPr>
      <w:r>
        <w:rPr>
          <w:rFonts w:ascii="Open Sans" w:eastAsia="Open Sans" w:hAnsi="Open Sans" w:cs="Open Sans"/>
          <w:sz w:val="22"/>
          <w:szCs w:val="22"/>
        </w:rPr>
        <w:t xml:space="preserve">Con aproximadamente 19 millones de usuarios al mes en su web o aplicación, </w:t>
      </w:r>
      <w:r>
        <w:rPr>
          <w:rFonts w:ascii="Open Sans" w:eastAsia="Open Sans" w:hAnsi="Open Sans" w:cs="Open Sans"/>
          <w:b/>
          <w:bCs/>
          <w:sz w:val="22"/>
          <w:szCs w:val="22"/>
        </w:rPr>
        <w:t>ImmoScout24 es el líder del mercado en listados y búsqueda inmobiliaria digital</w:t>
      </w:r>
      <w:r>
        <w:rPr>
          <w:rFonts w:ascii="Open Sans" w:eastAsia="Open Sans" w:hAnsi="Open Sans" w:cs="Open Sans"/>
          <w:sz w:val="22"/>
          <w:szCs w:val="22"/>
        </w:rPr>
        <w:t>. Para digitalizar el proceso de las transacciones inmobiliarias, ImmoScout24 desarrolla continuamente nuevos productos y construye un ecosistema conectado y rico en datos para el alquiler, la compra y el sector inmobiliario comercial en Alemania y Austria. Scout24 es una sociedad anónima que cotiza en bolsa (ISIN: DE000A12DM80, Ticker: G24) y miembro del DAX, así como del DAX 50 ESG y el DAX 50 ESG+.</w:t>
      </w:r>
    </w:p>
    <w:p w14:paraId="0B581C58" w14:textId="77777777" w:rsidR="00E10521" w:rsidRDefault="00E10521">
      <w:pPr>
        <w:spacing w:line="276" w:lineRule="auto"/>
        <w:ind w:right="-284"/>
        <w:rPr>
          <w:rFonts w:ascii="Open Sans" w:eastAsia="Open Sans" w:hAnsi="Open Sans" w:cs="Open Sans"/>
        </w:rPr>
      </w:pPr>
    </w:p>
    <w:p w14:paraId="4E4410F1" w14:textId="77777777" w:rsidR="00E10521" w:rsidRDefault="00E10521">
      <w:pPr>
        <w:spacing w:line="276" w:lineRule="auto"/>
        <w:ind w:right="-284"/>
        <w:rPr>
          <w:rFonts w:ascii="Open Sans Light" w:eastAsia="Open Sans Light" w:hAnsi="Open Sans Light" w:cs="Open Sans Light"/>
          <w:b/>
          <w:bCs/>
          <w:color w:val="303AB2"/>
          <w:sz w:val="22"/>
          <w:szCs w:val="22"/>
        </w:rPr>
      </w:pPr>
    </w:p>
    <w:p w14:paraId="244AD780" w14:textId="77777777" w:rsidR="00E10521" w:rsidRDefault="00E10521">
      <w:pPr>
        <w:spacing w:line="276" w:lineRule="auto"/>
        <w:ind w:right="-284"/>
        <w:rPr>
          <w:rFonts w:ascii="Open Sans Light" w:eastAsia="Open Sans Light" w:hAnsi="Open Sans Light" w:cs="Open Sans Light"/>
          <w:b/>
          <w:bCs/>
          <w:color w:val="303AB2"/>
          <w:sz w:val="22"/>
          <w:szCs w:val="22"/>
        </w:rPr>
      </w:pPr>
    </w:p>
    <w:p w14:paraId="663A1D31" w14:textId="77777777" w:rsidR="00E10521" w:rsidRDefault="00000000">
      <w:pPr>
        <w:spacing w:line="276" w:lineRule="auto"/>
        <w:ind w:right="-284"/>
        <w:rPr>
          <w:rFonts w:ascii="Open Sans Light" w:eastAsia="Open Sans Light" w:hAnsi="Open Sans Light" w:cs="Open Sans Light"/>
          <w:b/>
          <w:bCs/>
          <w:color w:val="303AB2"/>
          <w:sz w:val="22"/>
          <w:szCs w:val="22"/>
        </w:rPr>
      </w:pPr>
      <w:r>
        <w:rPr>
          <w:rFonts w:ascii="Open Sans Light" w:eastAsia="Open Sans Light" w:hAnsi="Open Sans Light" w:cs="Open Sans Light"/>
          <w:b/>
          <w:bCs/>
          <w:color w:val="303AB2"/>
          <w:sz w:val="22"/>
          <w:szCs w:val="22"/>
        </w:rPr>
        <w:t>Departamento Comunicación Fotocasa</w:t>
      </w:r>
    </w:p>
    <w:p w14:paraId="5E7EDCE1" w14:textId="77777777" w:rsidR="00E10521" w:rsidRDefault="00000000">
      <w:pPr>
        <w:shd w:val="clear" w:color="auto" w:fill="FFFFFF"/>
        <w:spacing w:line="276" w:lineRule="auto"/>
        <w:ind w:right="-284"/>
        <w:rPr>
          <w:rFonts w:ascii="Open Sans" w:eastAsia="Open Sans" w:hAnsi="Open Sans" w:cs="Open Sans"/>
          <w:b/>
          <w:bCs/>
          <w:color w:val="000000"/>
          <w:sz w:val="22"/>
          <w:szCs w:val="22"/>
        </w:rPr>
      </w:pPr>
      <w:r>
        <w:rPr>
          <w:rFonts w:ascii="Open Sans" w:eastAsia="Open Sans" w:hAnsi="Open Sans" w:cs="Open Sans"/>
          <w:b/>
          <w:bCs/>
          <w:color w:val="000000"/>
          <w:sz w:val="22"/>
          <w:szCs w:val="22"/>
        </w:rPr>
        <w:t>Anaïs García</w:t>
      </w:r>
    </w:p>
    <w:p w14:paraId="43EC9C26" w14:textId="77777777" w:rsidR="00E10521" w:rsidRDefault="00000000">
      <w:pPr>
        <w:shd w:val="clear" w:color="auto" w:fill="FFFFFF"/>
        <w:spacing w:line="276" w:lineRule="auto"/>
        <w:ind w:right="-284"/>
        <w:rPr>
          <w:rFonts w:ascii="Open Sans" w:eastAsia="Open Sans" w:hAnsi="Open Sans" w:cs="Open Sans"/>
          <w:color w:val="0000FF"/>
          <w:sz w:val="22"/>
          <w:szCs w:val="22"/>
          <w:u w:val="single"/>
        </w:rPr>
      </w:pPr>
      <w:hyperlink r:id="rId23">
        <w:r>
          <w:rPr>
            <w:rFonts w:ascii="Open Sans" w:eastAsia="Open Sans" w:hAnsi="Open Sans" w:cs="Open Sans"/>
            <w:color w:val="0000FF"/>
            <w:sz w:val="22"/>
            <w:szCs w:val="22"/>
            <w:u w:val="single"/>
          </w:rPr>
          <w:t>comunicacion@fotocasa.es</w:t>
        </w:r>
      </w:hyperlink>
    </w:p>
    <w:p w14:paraId="672F33AC" w14:textId="77777777" w:rsidR="00E10521" w:rsidRDefault="00000000">
      <w:pPr>
        <w:shd w:val="clear" w:color="auto" w:fill="FFFFFF"/>
        <w:spacing w:line="276" w:lineRule="auto"/>
        <w:ind w:right="-284"/>
        <w:rPr>
          <w:rFonts w:ascii="Open Sans" w:eastAsia="Open Sans" w:hAnsi="Open Sans" w:cs="Open Sans"/>
          <w:color w:val="000000"/>
          <w:sz w:val="22"/>
          <w:szCs w:val="22"/>
        </w:rPr>
      </w:pPr>
      <w:r>
        <w:rPr>
          <w:rFonts w:ascii="Open Sans" w:eastAsia="Open Sans" w:hAnsi="Open Sans" w:cs="Open Sans"/>
          <w:color w:val="000000"/>
          <w:sz w:val="22"/>
          <w:szCs w:val="22"/>
        </w:rPr>
        <w:t>620 66 29 26</w:t>
      </w:r>
    </w:p>
    <w:p w14:paraId="18DE2D78" w14:textId="77777777" w:rsidR="00E10521" w:rsidRDefault="00E10521">
      <w:pPr>
        <w:spacing w:line="276" w:lineRule="auto"/>
        <w:jc w:val="right"/>
        <w:rPr>
          <w:rFonts w:ascii="Open Sans" w:eastAsia="Open Sans" w:hAnsi="Open Sans" w:cs="Open Sans"/>
          <w:color w:val="000000"/>
          <w:sz w:val="22"/>
          <w:szCs w:val="22"/>
        </w:rPr>
      </w:pPr>
    </w:p>
    <w:sectPr w:rsidR="00E10521">
      <w:footerReference w:type="default" r:id="rId24"/>
      <w:pgSz w:w="11900" w:h="16840"/>
      <w:pgMar w:top="1417" w:right="1127"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055ECE" w14:textId="77777777" w:rsidR="005261C0" w:rsidRDefault="005261C0">
      <w:r>
        <w:separator/>
      </w:r>
    </w:p>
  </w:endnote>
  <w:endnote w:type="continuationSeparator" w:id="0">
    <w:p w14:paraId="0CE9B988" w14:textId="77777777" w:rsidR="005261C0" w:rsidRDefault="005261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6B7B3B51-75D9-4E4A-AB0A-E38C8A17ECBB}"/>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599D3CD5-7F64-4316-97A7-65C0EFA823A5}"/>
    <w:embedBold r:id="rId3" w:fontKey="{687CD02F-934E-421B-98F8-F99B3808455E}"/>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15373401-5595-4DA5-BEEA-0BF7454D9158}"/>
  </w:font>
  <w:font w:name="National">
    <w:altName w:val="Calibri"/>
    <w:charset w:val="00"/>
    <w:family w:val="auto"/>
    <w:pitch w:val="default"/>
  </w:font>
  <w:font w:name="Open Sans Light">
    <w:charset w:val="00"/>
    <w:family w:val="swiss"/>
    <w:pitch w:val="variable"/>
    <w:sig w:usb0="E00002EF" w:usb1="4000205B" w:usb2="00000028" w:usb3="00000000" w:csb0="0000019F" w:csb1="00000000"/>
    <w:embedBold r:id="rId5" w:fontKey="{BB01315F-3381-4E6C-9E61-D72699298E94}"/>
  </w:font>
  <w:font w:name="Open Sans">
    <w:charset w:val="00"/>
    <w:family w:val="swiss"/>
    <w:pitch w:val="variable"/>
    <w:sig w:usb0="E00002EF" w:usb1="4000205B" w:usb2="00000028" w:usb3="00000000" w:csb0="0000019F" w:csb1="00000000"/>
    <w:embedRegular r:id="rId6" w:fontKey="{889453B9-DC07-4DAE-AACD-084BF94EED87}"/>
    <w:embedBold r:id="rId7" w:fontKey="{CEAF7FE3-DAEB-4AEB-9E9D-FE0DBF7D519C}"/>
  </w:font>
  <w:font w:name="Cambria">
    <w:panose1 w:val="02040503050406030204"/>
    <w:charset w:val="00"/>
    <w:family w:val="roman"/>
    <w:pitch w:val="variable"/>
    <w:sig w:usb0="E00006FF" w:usb1="420024FF" w:usb2="02000000" w:usb3="00000000" w:csb0="0000019F" w:csb1="00000000"/>
    <w:embedRegular r:id="rId8" w:fontKey="{6BE90DBC-2DBF-49F7-BC9B-EF2C1EB0226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3EBF8" w14:textId="77777777" w:rsidR="00E10521" w:rsidRDefault="00000000">
    <w:pPr>
      <w:pBdr>
        <w:top w:val="nil"/>
        <w:left w:val="nil"/>
        <w:bottom w:val="nil"/>
        <w:right w:val="nil"/>
        <w:between w:val="nil"/>
      </w:pBdr>
      <w:tabs>
        <w:tab w:val="center" w:pos="4252"/>
        <w:tab w:val="right" w:pos="8504"/>
      </w:tabs>
      <w:rPr>
        <w:color w:val="000000"/>
      </w:rPr>
    </w:pPr>
    <w:r>
      <w:rPr>
        <w:noProof/>
      </w:rPr>
      <w:drawing>
        <wp:anchor distT="0" distB="0" distL="0" distR="0" simplePos="0" relativeHeight="251658240" behindDoc="1" locked="0" layoutInCell="1" hidden="0" allowOverlap="1" wp14:anchorId="645792D0" wp14:editId="0EA82715">
          <wp:simplePos x="0" y="0"/>
          <wp:positionH relativeFrom="column">
            <wp:posOffset>-1068040</wp:posOffset>
          </wp:positionH>
          <wp:positionV relativeFrom="paragraph">
            <wp:posOffset>174608</wp:posOffset>
          </wp:positionV>
          <wp:extent cx="7670550" cy="451315"/>
          <wp:effectExtent l="0" t="0" r="0" b="0"/>
          <wp:wrapNone/>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7670550" cy="451315"/>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D65FFC" w14:textId="77777777" w:rsidR="005261C0" w:rsidRDefault="005261C0">
      <w:r>
        <w:separator/>
      </w:r>
    </w:p>
  </w:footnote>
  <w:footnote w:type="continuationSeparator" w:id="0">
    <w:p w14:paraId="1C1B4057" w14:textId="77777777" w:rsidR="005261C0" w:rsidRDefault="005261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4341D"/>
    <w:multiLevelType w:val="multilevel"/>
    <w:tmpl w:val="10C261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668487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521"/>
    <w:rsid w:val="005261C0"/>
    <w:rsid w:val="006A3285"/>
    <w:rsid w:val="00E10521"/>
    <w:rsid w:val="00E37A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EB6533"/>
  <w15:docId w15:val="{6E3FE61A-0ACB-493A-B68D-70D0C253C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fotocasa.es/indice/" TargetMode="External"/><Relationship Id="rId18" Type="http://schemas.openxmlformats.org/officeDocument/2006/relationships/hyperlink" Target="https://profesionales.fotocasa.es/"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inmoweb.es/" TargetMode="Externa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yperlink" Target="https://www.habitaclia.com/"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fotocasa.es" TargetMode="External"/><Relationship Id="rId20" Type="http://schemas.openxmlformats.org/officeDocument/2006/relationships/hyperlink" Target="https://get.witei.com/e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prensa.fotocasa.es" TargetMode="External"/><Relationship Id="rId23" Type="http://schemas.openxmlformats.org/officeDocument/2006/relationships/hyperlink" Target="mailto:comunicacion@fotocasa.es" TargetMode="External"/><Relationship Id="rId10" Type="http://schemas.openxmlformats.org/officeDocument/2006/relationships/hyperlink" Target="https://www.fotocasa.es" TargetMode="External"/><Relationship Id="rId19" Type="http://schemas.openxmlformats.org/officeDocument/2006/relationships/hyperlink" Target="https://datavenues.com/" TargetMode="External"/><Relationship Id="rId4" Type="http://schemas.openxmlformats.org/officeDocument/2006/relationships/settings" Target="settings.xml"/><Relationship Id="rId9" Type="http://schemas.openxmlformats.org/officeDocument/2006/relationships/hyperlink" Target="https://research.fotocasa.es/" TargetMode="External"/><Relationship Id="rId14" Type="http://schemas.openxmlformats.org/officeDocument/2006/relationships/hyperlink" Target="https://www.research.fotocasa.es" TargetMode="External"/><Relationship Id="rId22" Type="http://schemas.openxmlformats.org/officeDocument/2006/relationships/hyperlink" Target="https://www.immobilienscout24.de/"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7HkI+bRozbRj6JYKpde2uqn65YA==">CgMxLjA4AHIhMXlDS3RCQUJ5b1ZqbExMOU5KaXV0a0Q4c2s4OVVRUlEy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1193</Words>
  <Characters>6801</Characters>
  <Application>Microsoft Office Word</Application>
  <DocSecurity>0</DocSecurity>
  <Lines>56</Lines>
  <Paragraphs>15</Paragraphs>
  <ScaleCrop>false</ScaleCrop>
  <Company/>
  <LinksUpToDate>false</LinksUpToDate>
  <CharactersWithSpaces>7979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Anais Garcia Lopez</cp:lastModifiedBy>
  <cp:revision>2</cp:revision>
  <dcterms:created xsi:type="dcterms:W3CDTF">2026-07-06T11:19:00Z</dcterms:created>
  <dcterms:modified xsi:type="dcterms:W3CDTF">2026-07-06T11:19:00Z</dcterms:modified>
</cp:coreProperties>
</file>