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libri" w:cs="Calibri" w:eastAsia="Calibri" w:hAnsi="Calibri"/>
        </w:rPr>
      </w:pP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ffffff" w:val="clear"/>
        <w:spacing w:after="225" w:lineRule="auto"/>
        <w:ind w:right="-135"/>
        <w:jc w:val="center"/>
        <w:rPr>
          <w:rFonts w:ascii="Open Sans" w:cs="Open Sans" w:eastAsia="Open Sans" w:hAnsi="Open Sans"/>
          <w:b w:val="1"/>
          <w:bCs w:val="1"/>
          <w:color w:val="303ab2"/>
          <w:sz w:val="20"/>
          <w:szCs w:val="20"/>
        </w:rPr>
      </w:pPr>
      <w:r w:rsidDel="00000000" w:rsidR="00000000" w:rsidRPr="00000000">
        <w:rPr>
          <w:rFonts w:ascii="National" w:cs="National" w:eastAsia="National" w:hAnsi="National"/>
          <w:b w:val="1"/>
          <w:bCs w:val="1"/>
          <w:color w:val="303ab2"/>
          <w:sz w:val="50"/>
          <w:szCs w:val="50"/>
          <w:rtl w:val="0"/>
        </w:rPr>
        <w:t xml:space="preserve">“El mercado hipotecario roza las 260.000 hipotecas, un 7% más, a la espera del impacto de la subida de tipos”</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ffffff" w:val="clear"/>
        <w:spacing w:after="225" w:lineRule="auto"/>
        <w:ind w:right="-135"/>
        <w:jc w:val="center"/>
        <w:rPr>
          <w:rFonts w:ascii="Open Sans" w:cs="Open Sans" w:eastAsia="Open Sans" w:hAnsi="Open Sans"/>
          <w:b w:val="1"/>
          <w:bCs w:val="1"/>
          <w:color w:val="303ab2"/>
          <w:sz w:val="20"/>
          <w:szCs w:val="20"/>
        </w:rPr>
      </w:pPr>
      <w:r w:rsidDel="00000000" w:rsidR="00000000" w:rsidRPr="00000000">
        <w:rPr>
          <w:rtl w:val="0"/>
        </w:rPr>
      </w:r>
    </w:p>
    <w:p w:rsidR="00000000" w:rsidDel="00000000" w:rsidP="00000000" w:rsidRDefault="00000000" w:rsidRPr="00000000" w14:paraId="00000004">
      <w:pPr>
        <w:shd w:fill="ffffff" w:val="clear"/>
        <w:tabs>
          <w:tab w:val="left" w:leader="none" w:pos="142"/>
        </w:tabs>
        <w:spacing w:after="225" w:lineRule="auto"/>
        <w:jc w:val="both"/>
        <w:rPr>
          <w:rFonts w:ascii="Open Sans" w:cs="Open Sans" w:eastAsia="Open Sans" w:hAnsi="Open Sans"/>
          <w:b w:val="1"/>
          <w:bCs w:val="1"/>
          <w:color w:val="303ab2"/>
        </w:rPr>
      </w:pPr>
      <w:r w:rsidDel="00000000" w:rsidR="00000000" w:rsidRPr="00000000">
        <w:rPr>
          <w:rFonts w:ascii="Open Sans" w:cs="Open Sans" w:eastAsia="Open Sans" w:hAnsi="Open Sans"/>
          <w:b w:val="1"/>
          <w:bCs w:val="1"/>
          <w:color w:val="303ab2"/>
          <w:rtl w:val="0"/>
        </w:rPr>
        <w:t xml:space="preserve">Madrid, 26 de agosto de 2026</w:t>
      </w:r>
    </w:p>
    <w:p w:rsidR="00000000" w:rsidDel="00000000" w:rsidP="00000000" w:rsidRDefault="00000000" w:rsidRPr="00000000" w14:paraId="00000005">
      <w:pPr>
        <w:shd w:fill="ffffff" w:val="clear"/>
        <w:tabs>
          <w:tab w:val="left" w:leader="none" w:pos="142"/>
        </w:tabs>
        <w:spacing w:after="225" w:lineRule="auto"/>
        <w:jc w:val="both"/>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Los datos de constitución de hipotecas sobre vivienda correspondientes al sexto mes de 2026 publicados por el INE reflejan un ascenso mensual del </w:t>
      </w:r>
      <w:r w:rsidDel="00000000" w:rsidR="00000000" w:rsidRPr="00000000">
        <w:rPr>
          <w:rFonts w:ascii="Open Sans" w:cs="Open Sans" w:eastAsia="Open Sans" w:hAnsi="Open Sans"/>
          <w:sz w:val="21"/>
          <w:szCs w:val="21"/>
          <w:rtl w:val="0"/>
        </w:rPr>
        <w:t xml:space="preserve">8,8%</w:t>
      </w:r>
      <w:r w:rsidDel="00000000" w:rsidR="00000000" w:rsidRPr="00000000">
        <w:rPr>
          <w:rFonts w:ascii="Open Sans" w:cs="Open Sans" w:eastAsia="Open Sans" w:hAnsi="Open Sans"/>
          <w:sz w:val="21"/>
          <w:szCs w:val="21"/>
          <w:rtl w:val="0"/>
        </w:rPr>
        <w:t xml:space="preserve"> y otro interanual del </w:t>
      </w:r>
      <w:r w:rsidDel="00000000" w:rsidR="00000000" w:rsidRPr="00000000">
        <w:rPr>
          <w:rFonts w:ascii="Open Sans" w:cs="Open Sans" w:eastAsia="Open Sans" w:hAnsi="Open Sans"/>
          <w:sz w:val="21"/>
          <w:szCs w:val="21"/>
          <w:rtl w:val="0"/>
        </w:rPr>
        <w:t xml:space="preserve">10,8%,</w:t>
      </w:r>
      <w:r w:rsidDel="00000000" w:rsidR="00000000" w:rsidRPr="00000000">
        <w:rPr>
          <w:rFonts w:ascii="Open Sans" w:cs="Open Sans" w:eastAsia="Open Sans" w:hAnsi="Open Sans"/>
          <w:sz w:val="21"/>
          <w:szCs w:val="21"/>
          <w:rtl w:val="0"/>
        </w:rPr>
        <w:t xml:space="preserve"> confirmando que el mercado hipotecario mantiene un elevado dinamismo. “</w:t>
      </w:r>
      <w:r w:rsidDel="00000000" w:rsidR="00000000" w:rsidRPr="00000000">
        <w:rPr>
          <w:rFonts w:ascii="Open Sans" w:cs="Open Sans" w:eastAsia="Open Sans" w:hAnsi="Open Sans"/>
          <w:b w:val="1"/>
          <w:bCs w:val="1"/>
          <w:sz w:val="21"/>
          <w:szCs w:val="21"/>
          <w:rtl w:val="0"/>
        </w:rPr>
        <w:t xml:space="preserve">La actividad hipotecaria continúa mostrando gran fortaleza incluso después de la última subida de tipos del Banco Central Europeo. </w:t>
      </w:r>
      <w:r w:rsidDel="00000000" w:rsidR="00000000" w:rsidRPr="00000000">
        <w:rPr>
          <w:rFonts w:ascii="Open Sans" w:cs="Open Sans" w:eastAsia="Open Sans" w:hAnsi="Open Sans"/>
          <w:sz w:val="21"/>
          <w:szCs w:val="21"/>
          <w:rtl w:val="0"/>
        </w:rPr>
        <w:t xml:space="preserve">El crédito sigue fluyendo y el volumen de concesiones sigue en niveles muy elevados gracias a una demanda muy activa y a unas entidades financieras que continúan compitiendo por captar perfiles solventes. Aunque las condiciones de financiación son hoy menos expansivas que hace unos meses, el mercado sigue demostrando una elevada capacidad de resistencia. Sin embargo, </w:t>
      </w:r>
      <w:r w:rsidDel="00000000" w:rsidR="00000000" w:rsidRPr="00000000">
        <w:rPr>
          <w:rFonts w:ascii="Open Sans" w:cs="Open Sans" w:eastAsia="Open Sans" w:hAnsi="Open Sans"/>
          <w:b w:val="1"/>
          <w:bCs w:val="1"/>
          <w:sz w:val="21"/>
          <w:szCs w:val="21"/>
          <w:rtl w:val="0"/>
        </w:rPr>
        <w:t xml:space="preserve">estamos ante una fotografía que todavía no recoge plenamente el cambio de las condiciones monetarias y financieras</w:t>
      </w:r>
      <w:r w:rsidDel="00000000" w:rsidR="00000000" w:rsidRPr="00000000">
        <w:rPr>
          <w:rFonts w:ascii="Open Sans" w:cs="Open Sans" w:eastAsia="Open Sans" w:hAnsi="Open Sans"/>
          <w:sz w:val="21"/>
          <w:szCs w:val="21"/>
          <w:rtl w:val="0"/>
        </w:rPr>
        <w:t xml:space="preserve"> que se ha producido en los últimos meses”, explica María Matos, directora de Estudios de </w:t>
      </w:r>
      <w:hyperlink r:id="rId7">
        <w:r w:rsidDel="00000000" w:rsidR="00000000" w:rsidRPr="00000000">
          <w:rPr>
            <w:rFonts w:ascii="Open Sans" w:cs="Open Sans" w:eastAsia="Open Sans" w:hAnsi="Open Sans"/>
            <w:color w:val="1155cc"/>
            <w:sz w:val="21"/>
            <w:szCs w:val="21"/>
            <w:u w:val="single"/>
            <w:rtl w:val="0"/>
          </w:rPr>
          <w:t xml:space="preserve">Fotocasa</w:t>
        </w:r>
      </w:hyperlink>
      <w:r w:rsidDel="00000000" w:rsidR="00000000" w:rsidRPr="00000000">
        <w:rPr>
          <w:rFonts w:ascii="Open Sans" w:cs="Open Sans" w:eastAsia="Open Sans" w:hAnsi="Open Sans"/>
          <w:sz w:val="21"/>
          <w:szCs w:val="21"/>
          <w:rtl w:val="0"/>
        </w:rPr>
        <w:t xml:space="preserve">. </w:t>
      </w:r>
    </w:p>
    <w:p w:rsidR="00000000" w:rsidDel="00000000" w:rsidP="00000000" w:rsidRDefault="00000000" w:rsidRPr="00000000" w14:paraId="00000006">
      <w:pPr>
        <w:shd w:fill="ffffff" w:val="clear"/>
        <w:tabs>
          <w:tab w:val="left" w:leader="none" w:pos="142"/>
        </w:tabs>
        <w:spacing w:after="225" w:lineRule="auto"/>
        <w:jc w:val="both"/>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“En junio se firmaron 45.907 hipotecas sobre vivienda, una cifra que vuelve a superar ampliamente el umbral de las 40.000 operaciones mensuales y que refleja la fuerte actividad de la primera mitad del año. </w:t>
      </w:r>
      <w:r w:rsidDel="00000000" w:rsidR="00000000" w:rsidRPr="00000000">
        <w:rPr>
          <w:rFonts w:ascii="Open Sans" w:cs="Open Sans" w:eastAsia="Open Sans" w:hAnsi="Open Sans"/>
          <w:b w:val="1"/>
          <w:bCs w:val="1"/>
          <w:sz w:val="21"/>
          <w:szCs w:val="21"/>
          <w:rtl w:val="0"/>
        </w:rPr>
        <w:t xml:space="preserve">En los seis primeros meses de 2026 se han formalizado 259.684 hipotecas, un 6,7% más que las 243.257 registradas en el mismo periodo de 2025</w:t>
      </w:r>
      <w:r w:rsidDel="00000000" w:rsidR="00000000" w:rsidRPr="00000000">
        <w:rPr>
          <w:rFonts w:ascii="Open Sans" w:cs="Open Sans" w:eastAsia="Open Sans" w:hAnsi="Open Sans"/>
          <w:sz w:val="21"/>
          <w:szCs w:val="21"/>
          <w:rtl w:val="0"/>
        </w:rPr>
        <w:t xml:space="preserve">. Sin embargo, hay que tener en cuenta que </w:t>
      </w:r>
      <w:r w:rsidDel="00000000" w:rsidR="00000000" w:rsidRPr="00000000">
        <w:rPr>
          <w:rFonts w:ascii="Open Sans" w:cs="Open Sans" w:eastAsia="Open Sans" w:hAnsi="Open Sans"/>
          <w:b w:val="1"/>
          <w:bCs w:val="1"/>
          <w:sz w:val="21"/>
          <w:szCs w:val="21"/>
          <w:rtl w:val="0"/>
        </w:rPr>
        <w:t xml:space="preserve">las hipotecas que se formalizan ahora corresponden, en muchos casos, a procesos de compra y financiación iniciados al menos dos meses antes.</w:t>
      </w:r>
      <w:r w:rsidDel="00000000" w:rsidR="00000000" w:rsidRPr="00000000">
        <w:rPr>
          <w:rFonts w:ascii="Open Sans" w:cs="Open Sans" w:eastAsia="Open Sans" w:hAnsi="Open Sans"/>
          <w:sz w:val="21"/>
          <w:szCs w:val="21"/>
          <w:rtl w:val="0"/>
        </w:rPr>
        <w:t xml:space="preserve"> Por tanto, estos datos reflejan unas condiciones financieras anteriores y es probable que el efecto del nuevo escenario de tipos comience a apreciarse con mayor claridad en los próximos meses”, asegura María Matos, portavoz de </w:t>
      </w:r>
      <w:hyperlink r:id="rId8">
        <w:r w:rsidDel="00000000" w:rsidR="00000000" w:rsidRPr="00000000">
          <w:rPr>
            <w:rFonts w:ascii="Open Sans" w:cs="Open Sans" w:eastAsia="Open Sans" w:hAnsi="Open Sans"/>
            <w:color w:val="1155cc"/>
            <w:sz w:val="21"/>
            <w:szCs w:val="21"/>
            <w:u w:val="single"/>
            <w:rtl w:val="0"/>
          </w:rPr>
          <w:t xml:space="preserve">Fotocasa</w:t>
        </w:r>
      </w:hyperlink>
      <w:r w:rsidDel="00000000" w:rsidR="00000000" w:rsidRPr="00000000">
        <w:rPr>
          <w:rFonts w:ascii="Open Sans" w:cs="Open Sans" w:eastAsia="Open Sans" w:hAnsi="Open Sans"/>
          <w:sz w:val="21"/>
          <w:szCs w:val="21"/>
          <w:rtl w:val="0"/>
        </w:rPr>
        <w:t xml:space="preserve">.</w:t>
      </w:r>
    </w:p>
    <w:p w:rsidR="00000000" w:rsidDel="00000000" w:rsidP="00000000" w:rsidRDefault="00000000" w:rsidRPr="00000000" w14:paraId="00000007">
      <w:pPr>
        <w:shd w:fill="ffffff" w:val="clear"/>
        <w:tabs>
          <w:tab w:val="left" w:leader="none" w:pos="142"/>
        </w:tabs>
        <w:spacing w:after="225" w:lineRule="auto"/>
        <w:jc w:val="both"/>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w:t>
      </w:r>
      <w:r w:rsidDel="00000000" w:rsidR="00000000" w:rsidRPr="00000000">
        <w:rPr>
          <w:rFonts w:ascii="Open Sans" w:cs="Open Sans" w:eastAsia="Open Sans" w:hAnsi="Open Sans"/>
          <w:b w:val="1"/>
          <w:bCs w:val="1"/>
          <w:sz w:val="21"/>
          <w:szCs w:val="21"/>
          <w:rtl w:val="0"/>
        </w:rPr>
        <w:t xml:space="preserve">El mercado entra en una nueva fase del ciclo hipotecario</w:t>
      </w:r>
      <w:r w:rsidDel="00000000" w:rsidR="00000000" w:rsidRPr="00000000">
        <w:rPr>
          <w:rFonts w:ascii="Open Sans" w:cs="Open Sans" w:eastAsia="Open Sans" w:hAnsi="Open Sans"/>
          <w:sz w:val="21"/>
          <w:szCs w:val="21"/>
          <w:rtl w:val="0"/>
        </w:rPr>
        <w:t xml:space="preserve">. Aunque el volumen de operaciones continúa siendo muy elevado, las condiciones de financiación ya comienzan a reflejar el endurecimiento de la política monetaria y la subida del Euríbor al 3%. El tipo de interés medio ya se sitúa en el 2,96%. El crédito sigue disponible, pero cada vez con mayor selección de los perfiles y unas condiciones algo menos favorables.</w:t>
      </w:r>
      <w:r w:rsidDel="00000000" w:rsidR="00000000" w:rsidRPr="00000000">
        <w:rPr>
          <w:rFonts w:ascii="Open Sans" w:cs="Open Sans" w:eastAsia="Open Sans" w:hAnsi="Open Sans"/>
          <w:b w:val="1"/>
          <w:bCs w:val="1"/>
          <w:sz w:val="21"/>
          <w:szCs w:val="21"/>
          <w:rtl w:val="0"/>
        </w:rPr>
        <w:t xml:space="preserve"> Tras un largo periodo de intensa competencia comercial, la banca comienza a priorizar la rentabilidad</w:t>
      </w:r>
      <w:r w:rsidDel="00000000" w:rsidR="00000000" w:rsidRPr="00000000">
        <w:rPr>
          <w:rFonts w:ascii="Open Sans" w:cs="Open Sans" w:eastAsia="Open Sans" w:hAnsi="Open Sans"/>
          <w:sz w:val="21"/>
          <w:szCs w:val="21"/>
          <w:rtl w:val="0"/>
        </w:rPr>
        <w:t xml:space="preserve"> frente al crecimiento del volumen de nuevas operaciones”, añade María Matos. </w:t>
      </w:r>
    </w:p>
    <w:p w:rsidR="00000000" w:rsidDel="00000000" w:rsidP="00000000" w:rsidRDefault="00000000" w:rsidRPr="00000000" w14:paraId="00000008">
      <w:pPr>
        <w:shd w:fill="ffffff" w:val="clear"/>
        <w:tabs>
          <w:tab w:val="left" w:leader="none" w:pos="142"/>
        </w:tabs>
        <w:spacing w:after="225" w:lineRule="auto"/>
        <w:jc w:val="both"/>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“Los datos de </w:t>
      </w:r>
      <w:r w:rsidDel="00000000" w:rsidR="00000000" w:rsidRPr="00000000">
        <w:rPr>
          <w:rFonts w:ascii="Open Sans" w:cs="Open Sans" w:eastAsia="Open Sans" w:hAnsi="Open Sans"/>
          <w:b w:val="1"/>
          <w:bCs w:val="1"/>
          <w:sz w:val="21"/>
          <w:szCs w:val="21"/>
          <w:rtl w:val="0"/>
        </w:rPr>
        <w:t xml:space="preserve">Fotocasa Research</w:t>
      </w:r>
      <w:r w:rsidDel="00000000" w:rsidR="00000000" w:rsidRPr="00000000">
        <w:rPr>
          <w:rFonts w:ascii="Open Sans" w:cs="Open Sans" w:eastAsia="Open Sans" w:hAnsi="Open Sans"/>
          <w:sz w:val="21"/>
          <w:szCs w:val="21"/>
          <w:rtl w:val="0"/>
        </w:rPr>
        <w:t xml:space="preserve"> permiten además dimensionar hasta qué punto la financiación continúa siendo fundamental para acceder a la propiedad.</w:t>
      </w:r>
      <w:r w:rsidDel="00000000" w:rsidR="00000000" w:rsidRPr="00000000">
        <w:rPr>
          <w:rFonts w:ascii="Open Sans" w:cs="Open Sans" w:eastAsia="Open Sans" w:hAnsi="Open Sans"/>
          <w:b w:val="1"/>
          <w:bCs w:val="1"/>
          <w:sz w:val="21"/>
          <w:szCs w:val="21"/>
          <w:rtl w:val="0"/>
        </w:rPr>
        <w:t xml:space="preserve"> El 68% de quienes adquirieron una vivienda durante los primeros meses de 2026 necesitó contratar una hipoteca. El 54% de todos los compradores financió la adquisición exclusivamente a través de una entidad financiera</w:t>
      </w:r>
      <w:r w:rsidDel="00000000" w:rsidR="00000000" w:rsidRPr="00000000">
        <w:rPr>
          <w:rFonts w:ascii="Open Sans" w:cs="Open Sans" w:eastAsia="Open Sans" w:hAnsi="Open Sans"/>
          <w:sz w:val="21"/>
          <w:szCs w:val="21"/>
          <w:rtl w:val="0"/>
        </w:rPr>
        <w:t xml:space="preserve"> y otro 15% tuvo que combinar la hipoteca con ayuda económica familiar. Estos datos muestran que hay una elevada dependencia del crédito para acceder a la vivienda”, comenta la directora de </w:t>
      </w:r>
      <w:hyperlink r:id="rId9">
        <w:r w:rsidDel="00000000" w:rsidR="00000000" w:rsidRPr="00000000">
          <w:rPr>
            <w:rFonts w:ascii="Open Sans" w:cs="Open Sans" w:eastAsia="Open Sans" w:hAnsi="Open Sans"/>
            <w:color w:val="1155cc"/>
            <w:sz w:val="21"/>
            <w:szCs w:val="21"/>
            <w:u w:val="single"/>
            <w:rtl w:val="0"/>
          </w:rPr>
          <w:t xml:space="preserve">Fotocasa Research</w:t>
        </w:r>
      </w:hyperlink>
      <w:r w:rsidDel="00000000" w:rsidR="00000000" w:rsidRPr="00000000">
        <w:rPr>
          <w:rFonts w:ascii="Open Sans" w:cs="Open Sans" w:eastAsia="Open Sans" w:hAnsi="Open Sans"/>
          <w:sz w:val="21"/>
          <w:szCs w:val="21"/>
          <w:rtl w:val="0"/>
        </w:rPr>
        <w:t xml:space="preserve">.</w:t>
      </w:r>
    </w:p>
    <w:p w:rsidR="00000000" w:rsidDel="00000000" w:rsidP="00000000" w:rsidRDefault="00000000" w:rsidRPr="00000000" w14:paraId="00000009">
      <w:pPr>
        <w:shd w:fill="ffffff" w:val="clear"/>
        <w:tabs>
          <w:tab w:val="left" w:leader="none" w:pos="142"/>
        </w:tabs>
        <w:spacing w:after="225" w:lineRule="auto"/>
        <w:jc w:val="both"/>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“Las hipotecas a tipo fijo seguirán siendo las más demandadas (representan actualmente el 61,7% de las firmas mensuales), ya que aportan estabilidad y protección frente a posibles episodios de volatilidad futura del Euríbor. Aunque las entidades financieras mantienen una elevada competencia comercial,</w:t>
      </w:r>
      <w:r w:rsidDel="00000000" w:rsidR="00000000" w:rsidRPr="00000000">
        <w:rPr>
          <w:rFonts w:ascii="Open Sans" w:cs="Open Sans" w:eastAsia="Open Sans" w:hAnsi="Open Sans"/>
          <w:b w:val="1"/>
          <w:bCs w:val="1"/>
          <w:sz w:val="21"/>
          <w:szCs w:val="21"/>
          <w:rtl w:val="0"/>
        </w:rPr>
        <w:t xml:space="preserve"> las ofertas comienzan a ser algo menos agresivas que durante los últimos meses, reflejando el nuevo escenario monetario</w:t>
      </w:r>
      <w:r w:rsidDel="00000000" w:rsidR="00000000" w:rsidRPr="00000000">
        <w:rPr>
          <w:rFonts w:ascii="Open Sans" w:cs="Open Sans" w:eastAsia="Open Sans" w:hAnsi="Open Sans"/>
          <w:sz w:val="21"/>
          <w:szCs w:val="21"/>
          <w:rtl w:val="0"/>
        </w:rPr>
        <w:t xml:space="preserve">. Igualmente, desde Fotocasa, recomendamos a los consumidores comparar ofertas y fomentar la competencia entre entidades para conseguir unas cuotas hipotecarias ajustadas a su capacidad económica”, asegura la portavoz del portal.</w:t>
      </w:r>
    </w:p>
    <w:p w:rsidR="00000000" w:rsidDel="00000000" w:rsidP="00000000" w:rsidRDefault="00000000" w:rsidRPr="00000000" w14:paraId="0000000A">
      <w:pPr>
        <w:shd w:fill="ffffff" w:val="clear"/>
        <w:tabs>
          <w:tab w:val="left" w:leader="none" w:pos="142"/>
        </w:tabs>
        <w:spacing w:after="225" w:lineRule="auto"/>
        <w:jc w:val="both"/>
        <w:rPr>
          <w:rFonts w:ascii="Open Sans" w:cs="Open Sans" w:eastAsia="Open Sans" w:hAnsi="Open Sans"/>
          <w:sz w:val="21"/>
          <w:szCs w:val="21"/>
        </w:rPr>
      </w:pPr>
      <w:r w:rsidDel="00000000" w:rsidR="00000000" w:rsidRPr="00000000">
        <w:rPr>
          <w:rFonts w:ascii="Open Sans" w:cs="Open Sans" w:eastAsia="Open Sans" w:hAnsi="Open Sans"/>
          <w:b w:val="1"/>
          <w:bCs w:val="1"/>
          <w:color w:val="303ab2"/>
          <w:sz w:val="24"/>
          <w:szCs w:val="24"/>
          <w:rtl w:val="0"/>
        </w:rPr>
        <w:t xml:space="preserve">Cambio en el perfil del comprador</w:t>
      </w:r>
      <w:r w:rsidDel="00000000" w:rsidR="00000000" w:rsidRPr="00000000">
        <w:rPr>
          <w:rtl w:val="0"/>
        </w:rPr>
      </w:r>
    </w:p>
    <w:p w:rsidR="00000000" w:rsidDel="00000000" w:rsidP="00000000" w:rsidRDefault="00000000" w:rsidRPr="00000000" w14:paraId="0000000B">
      <w:pPr>
        <w:shd w:fill="ffffff" w:val="clear"/>
        <w:tabs>
          <w:tab w:val="left" w:leader="none" w:pos="142"/>
        </w:tabs>
        <w:spacing w:after="225" w:lineRule="auto"/>
        <w:jc w:val="both"/>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Este nuevo entorno comienza a trasladarse al comportamiento de la demanda. “Un contexto de financiación menos competitiva tiende a </w:t>
      </w:r>
      <w:r w:rsidDel="00000000" w:rsidR="00000000" w:rsidRPr="00000000">
        <w:rPr>
          <w:rFonts w:ascii="Open Sans" w:cs="Open Sans" w:eastAsia="Open Sans" w:hAnsi="Open Sans"/>
          <w:b w:val="1"/>
          <w:bCs w:val="1"/>
          <w:sz w:val="21"/>
          <w:szCs w:val="21"/>
          <w:rtl w:val="0"/>
        </w:rPr>
        <w:t xml:space="preserve">seleccionar más al comprador, favoreciendo a aquellos perfiles con mayor solvencia y capacidad de ahorro</w:t>
      </w:r>
      <w:r w:rsidDel="00000000" w:rsidR="00000000" w:rsidRPr="00000000">
        <w:rPr>
          <w:rFonts w:ascii="Open Sans" w:cs="Open Sans" w:eastAsia="Open Sans" w:hAnsi="Open Sans"/>
          <w:sz w:val="21"/>
          <w:szCs w:val="21"/>
          <w:rtl w:val="0"/>
        </w:rPr>
        <w:t xml:space="preserve">, mientras que dificulta el acceso a quienes dependen en mayor medida del crédito. Es  relevante la </w:t>
      </w:r>
      <w:r w:rsidDel="00000000" w:rsidR="00000000" w:rsidRPr="00000000">
        <w:rPr>
          <w:rFonts w:ascii="Open Sans" w:cs="Open Sans" w:eastAsia="Open Sans" w:hAnsi="Open Sans"/>
          <w:b w:val="1"/>
          <w:bCs w:val="1"/>
          <w:sz w:val="21"/>
          <w:szCs w:val="21"/>
          <w:rtl w:val="0"/>
        </w:rPr>
        <w:t xml:space="preserve">caída de 5 puntos porcentuales del perfil del comprador inversor, que se sitúa en el 7%</w:t>
      </w:r>
      <w:r w:rsidDel="00000000" w:rsidR="00000000" w:rsidRPr="00000000">
        <w:rPr>
          <w:rFonts w:ascii="Open Sans" w:cs="Open Sans" w:eastAsia="Open Sans" w:hAnsi="Open Sans"/>
          <w:sz w:val="21"/>
          <w:szCs w:val="21"/>
          <w:rtl w:val="0"/>
        </w:rPr>
        <w:t xml:space="preserve"> detectada en </w:t>
      </w:r>
      <w:hyperlink r:id="rId10">
        <w:r w:rsidDel="00000000" w:rsidR="00000000" w:rsidRPr="00000000">
          <w:rPr>
            <w:rFonts w:ascii="Open Sans" w:cs="Open Sans" w:eastAsia="Open Sans" w:hAnsi="Open Sans"/>
            <w:color w:val="1155cc"/>
            <w:sz w:val="21"/>
            <w:szCs w:val="21"/>
            <w:u w:val="single"/>
            <w:rtl w:val="0"/>
          </w:rPr>
          <w:t xml:space="preserve">Fotocasa Research</w:t>
        </w:r>
      </w:hyperlink>
      <w:r w:rsidDel="00000000" w:rsidR="00000000" w:rsidRPr="00000000">
        <w:rPr>
          <w:rFonts w:ascii="Open Sans" w:cs="Open Sans" w:eastAsia="Open Sans" w:hAnsi="Open Sans"/>
          <w:sz w:val="21"/>
          <w:szCs w:val="21"/>
          <w:rtl w:val="0"/>
        </w:rPr>
        <w:t xml:space="preserve">. Este ajuste refleja una menor rentabilidad percibida en un contexto de precios elevados y un encarecimiento progresivo del crédito, lo que reduce el atractivo de la inversión frente a otros momentos del ciclo”, añade.</w:t>
      </w:r>
    </w:p>
    <w:p w:rsidR="00000000" w:rsidDel="00000000" w:rsidP="00000000" w:rsidRDefault="00000000" w:rsidRPr="00000000" w14:paraId="0000000C">
      <w:pPr>
        <w:shd w:fill="ffffff" w:val="clear"/>
        <w:tabs>
          <w:tab w:val="left" w:leader="none" w:pos="142"/>
        </w:tabs>
        <w:spacing w:after="240" w:before="240" w:lineRule="auto"/>
        <w:jc w:val="both"/>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“A la vez, se observa un incremento de </w:t>
      </w:r>
      <w:r w:rsidDel="00000000" w:rsidR="00000000" w:rsidRPr="00000000">
        <w:rPr>
          <w:rFonts w:ascii="Open Sans" w:cs="Open Sans" w:eastAsia="Open Sans" w:hAnsi="Open Sans"/>
          <w:b w:val="1"/>
          <w:bCs w:val="1"/>
          <w:sz w:val="21"/>
          <w:szCs w:val="21"/>
          <w:rtl w:val="0"/>
        </w:rPr>
        <w:t xml:space="preserve">compradores con alta solvencia económica, que necesitan menos financiación</w:t>
      </w:r>
      <w:r w:rsidDel="00000000" w:rsidR="00000000" w:rsidRPr="00000000">
        <w:rPr>
          <w:rFonts w:ascii="Open Sans" w:cs="Open Sans" w:eastAsia="Open Sans" w:hAnsi="Open Sans"/>
          <w:sz w:val="21"/>
          <w:szCs w:val="21"/>
          <w:rtl w:val="0"/>
        </w:rPr>
        <w:t xml:space="preserve"> debido a su mayor poder adquisitivo. Por ello, en los próximos meses, </w:t>
      </w:r>
      <w:r w:rsidDel="00000000" w:rsidR="00000000" w:rsidRPr="00000000">
        <w:rPr>
          <w:rFonts w:ascii="Open Sans" w:cs="Open Sans" w:eastAsia="Open Sans" w:hAnsi="Open Sans"/>
          <w:b w:val="1"/>
          <w:bCs w:val="1"/>
          <w:sz w:val="21"/>
          <w:szCs w:val="21"/>
          <w:rtl w:val="0"/>
        </w:rPr>
        <w:t xml:space="preserve">el porcentaje de compradores que opta por no solicitar hipoteca, actualmente en un 32%, se irá reduciendo. </w:t>
      </w:r>
      <w:r w:rsidDel="00000000" w:rsidR="00000000" w:rsidRPr="00000000">
        <w:rPr>
          <w:rFonts w:ascii="Open Sans" w:cs="Open Sans" w:eastAsia="Open Sans" w:hAnsi="Open Sans"/>
          <w:sz w:val="21"/>
          <w:szCs w:val="21"/>
          <w:rtl w:val="0"/>
        </w:rPr>
        <w:t xml:space="preserve">Además, detectamos un comprador mucho más pendiente de las condiciones financieras y de cuánto puede permitirse pagar, porque el gran condicionante continúa siendo el elevado precio de la vivienda y la dificultad para reunir el ahorro previo necesario para afrontar la operación”, explica la portavoz.</w:t>
      </w:r>
    </w:p>
    <w:p w:rsidR="00000000" w:rsidDel="00000000" w:rsidP="00000000" w:rsidRDefault="00000000" w:rsidRPr="00000000" w14:paraId="0000000D">
      <w:pPr>
        <w:shd w:fill="ffffff" w:val="clear"/>
        <w:spacing w:after="225" w:lineRule="auto"/>
        <w:jc w:val="both"/>
        <w:rPr>
          <w:rFonts w:ascii="Open Sans" w:cs="Open Sans" w:eastAsia="Open Sans" w:hAnsi="Open Sans"/>
          <w:sz w:val="21"/>
          <w:szCs w:val="21"/>
        </w:rPr>
      </w:pPr>
      <w:r w:rsidDel="00000000" w:rsidR="00000000" w:rsidRPr="00000000">
        <w:rPr>
          <w:rFonts w:ascii="Open Sans" w:cs="Open Sans" w:eastAsia="Open Sans" w:hAnsi="Open Sans"/>
          <w:b w:val="1"/>
          <w:bCs w:val="1"/>
          <w:color w:val="303ab2"/>
          <w:sz w:val="24"/>
          <w:szCs w:val="24"/>
          <w:rtl w:val="0"/>
        </w:rPr>
        <w:t xml:space="preserve">Previsiones de actividad para el segundo semestre de 2026</w:t>
      </w:r>
      <w:r w:rsidDel="00000000" w:rsidR="00000000" w:rsidRPr="00000000">
        <w:rPr>
          <w:rtl w:val="0"/>
        </w:rPr>
      </w:r>
    </w:p>
    <w:p w:rsidR="00000000" w:rsidDel="00000000" w:rsidP="00000000" w:rsidRDefault="00000000" w:rsidRPr="00000000" w14:paraId="0000000E">
      <w:pPr>
        <w:shd w:fill="ffffff" w:val="clear"/>
        <w:spacing w:after="240" w:before="240" w:lineRule="auto"/>
        <w:jc w:val="both"/>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w:t>
      </w:r>
      <w:r w:rsidDel="00000000" w:rsidR="00000000" w:rsidRPr="00000000">
        <w:rPr>
          <w:rFonts w:ascii="Open Sans" w:cs="Open Sans" w:eastAsia="Open Sans" w:hAnsi="Open Sans"/>
          <w:b w:val="1"/>
          <w:bCs w:val="1"/>
          <w:sz w:val="21"/>
          <w:szCs w:val="21"/>
          <w:rtl w:val="0"/>
        </w:rPr>
        <w:t xml:space="preserve">Los próximos datos serán especialmente importantes para medir el impacto del cambio monetario sobre el mercado hipotecario.</w:t>
      </w:r>
      <w:r w:rsidDel="00000000" w:rsidR="00000000" w:rsidRPr="00000000">
        <w:rPr>
          <w:rFonts w:ascii="Open Sans" w:cs="Open Sans" w:eastAsia="Open Sans" w:hAnsi="Open Sans"/>
          <w:sz w:val="21"/>
          <w:szCs w:val="21"/>
          <w:rtl w:val="0"/>
        </w:rPr>
        <w:t xml:space="preserve"> Las operaciones que se están escriturando actualmente comenzaron a negociarse meses atrás y, por tanto, todavía incorporan en buena medida las condiciones financieras anteriores. Será previsiblemente a partir de los próximos registros cuando podamos comprobar si la subida de tipos y del euríbor empieza a traducirse en una moderación de las concesiones hipotecarias”, explica Matos.</w:t>
      </w:r>
    </w:p>
    <w:p w:rsidR="00000000" w:rsidDel="00000000" w:rsidP="00000000" w:rsidRDefault="00000000" w:rsidRPr="00000000" w14:paraId="0000000F">
      <w:pPr>
        <w:shd w:fill="ffffff" w:val="clear"/>
        <w:spacing w:after="240" w:before="240" w:lineRule="auto"/>
        <w:jc w:val="both"/>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“La evolución dependerá principalmente de las próximas decisiones del Banco Central Europeo. Si el BCE mantiene los tipos, el mercado podría encontrar cierto punto de estabilidad; </w:t>
      </w:r>
      <w:r w:rsidDel="00000000" w:rsidR="00000000" w:rsidRPr="00000000">
        <w:rPr>
          <w:rFonts w:ascii="Open Sans" w:cs="Open Sans" w:eastAsia="Open Sans" w:hAnsi="Open Sans"/>
          <w:b w:val="1"/>
          <w:bCs w:val="1"/>
          <w:sz w:val="21"/>
          <w:szCs w:val="21"/>
          <w:rtl w:val="0"/>
        </w:rPr>
        <w:t xml:space="preserve">si opta por nuevos incrementos, el encarecimiento de las hipotecas podría intensificarse y acelerar la moderación de la demanda</w:t>
      </w:r>
      <w:r w:rsidDel="00000000" w:rsidR="00000000" w:rsidRPr="00000000">
        <w:rPr>
          <w:rFonts w:ascii="Open Sans" w:cs="Open Sans" w:eastAsia="Open Sans" w:hAnsi="Open Sans"/>
          <w:sz w:val="21"/>
          <w:szCs w:val="21"/>
          <w:rtl w:val="0"/>
        </w:rPr>
        <w:t xml:space="preserve">. Así pues, la evolución de la inflación en la eurozona determinará los próximos movimientos”, asegura la directora de Estudios.</w:t>
      </w:r>
    </w:p>
    <w:p w:rsidR="00000000" w:rsidDel="00000000" w:rsidP="00000000" w:rsidRDefault="00000000" w:rsidRPr="00000000" w14:paraId="00000010">
      <w:pPr>
        <w:shd w:fill="ffffff" w:val="clear"/>
        <w:spacing w:after="240" w:before="240" w:lineRule="auto"/>
        <w:jc w:val="both"/>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“En cualquier caso, partimos de </w:t>
      </w:r>
      <w:r w:rsidDel="00000000" w:rsidR="00000000" w:rsidRPr="00000000">
        <w:rPr>
          <w:rFonts w:ascii="Open Sans" w:cs="Open Sans" w:eastAsia="Open Sans" w:hAnsi="Open Sans"/>
          <w:b w:val="1"/>
          <w:bCs w:val="1"/>
          <w:sz w:val="21"/>
          <w:szCs w:val="21"/>
          <w:rtl w:val="0"/>
        </w:rPr>
        <w:t xml:space="preserve">un mercado hipotecario extraordinariamente dinámico</w:t>
      </w:r>
      <w:r w:rsidDel="00000000" w:rsidR="00000000" w:rsidRPr="00000000">
        <w:rPr>
          <w:rFonts w:ascii="Open Sans" w:cs="Open Sans" w:eastAsia="Open Sans" w:hAnsi="Open Sans"/>
          <w:sz w:val="21"/>
          <w:szCs w:val="21"/>
          <w:rtl w:val="0"/>
        </w:rPr>
        <w:t xml:space="preserve">, por lo que una moderación en los próximos meses no debería interpretarse necesariamente como una señal de debilidad. </w:t>
      </w:r>
      <w:r w:rsidDel="00000000" w:rsidR="00000000" w:rsidRPr="00000000">
        <w:rPr>
          <w:rFonts w:ascii="Open Sans" w:cs="Open Sans" w:eastAsia="Open Sans" w:hAnsi="Open Sans"/>
          <w:b w:val="1"/>
          <w:bCs w:val="1"/>
          <w:sz w:val="21"/>
          <w:szCs w:val="21"/>
          <w:rtl w:val="0"/>
        </w:rPr>
        <w:t xml:space="preserve">Después de un periodo de fuerte expansión, lo esperable es avanzar hacia una normalización de la actividad, con un comprador más prudente y unas entidades financieras más selectivas</w:t>
      </w:r>
      <w:r w:rsidDel="00000000" w:rsidR="00000000" w:rsidRPr="00000000">
        <w:rPr>
          <w:rFonts w:ascii="Open Sans" w:cs="Open Sans" w:eastAsia="Open Sans" w:hAnsi="Open Sans"/>
          <w:sz w:val="21"/>
          <w:szCs w:val="21"/>
          <w:rtl w:val="0"/>
        </w:rPr>
        <w:t xml:space="preserve">”, indica la portavoz.</w:t>
      </w:r>
    </w:p>
    <w:p w:rsidR="00000000" w:rsidDel="00000000" w:rsidP="00000000" w:rsidRDefault="00000000" w:rsidRPr="00000000" w14:paraId="00000011">
      <w:pPr>
        <w:shd w:fill="ffffff" w:val="clear"/>
        <w:spacing w:after="240" w:before="240" w:lineRule="auto"/>
        <w:jc w:val="both"/>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“Por tanto, </w:t>
      </w:r>
      <w:r w:rsidDel="00000000" w:rsidR="00000000" w:rsidRPr="00000000">
        <w:rPr>
          <w:rFonts w:ascii="Open Sans" w:cs="Open Sans" w:eastAsia="Open Sans" w:hAnsi="Open Sans"/>
          <w:b w:val="1"/>
          <w:bCs w:val="1"/>
          <w:sz w:val="21"/>
          <w:szCs w:val="21"/>
          <w:rtl w:val="0"/>
        </w:rPr>
        <w:t xml:space="preserve">esperamos que el mercado hipotecario vaya perdiendo velocidad durante los próximos meses, a medida que las nuevas condiciones financieras se trasladen completamente a las operaciones</w:t>
      </w:r>
      <w:r w:rsidDel="00000000" w:rsidR="00000000" w:rsidRPr="00000000">
        <w:rPr>
          <w:rFonts w:ascii="Open Sans" w:cs="Open Sans" w:eastAsia="Open Sans" w:hAnsi="Open Sans"/>
          <w:sz w:val="21"/>
          <w:szCs w:val="21"/>
          <w:rtl w:val="0"/>
        </w:rPr>
        <w:t xml:space="preserve">. La demanda continúa siendo elevada, pero tendrá que enfrentarse a unas condiciones de acceso a la vivienda más exigentes como los elevados precios y la falta de oferta”, concluye María Matos.</w:t>
      </w:r>
    </w:p>
    <w:p w:rsidR="00000000" w:rsidDel="00000000" w:rsidP="00000000" w:rsidRDefault="00000000" w:rsidRPr="00000000" w14:paraId="00000012">
      <w:pPr>
        <w:shd w:fill="ffffff" w:val="clear"/>
        <w:spacing w:after="280" w:before="280" w:lineRule="auto"/>
        <w:jc w:val="right"/>
        <w:rPr>
          <w:rFonts w:ascii="Open Sans Light" w:cs="Open Sans Light" w:eastAsia="Open Sans Light" w:hAnsi="Open Sans Light"/>
          <w:b w:val="1"/>
          <w:bCs w:val="1"/>
          <w:color w:val="303ab2"/>
          <w:sz w:val="24"/>
          <w:szCs w:val="24"/>
        </w:rPr>
      </w:pPr>
      <w:r w:rsidDel="00000000" w:rsidR="00000000" w:rsidRPr="00000000">
        <w:rPr>
          <w:rFonts w:ascii="Open Sans Light" w:cs="Open Sans Light" w:eastAsia="Open Sans Light" w:hAnsi="Open Sans Light"/>
          <w:b w:val="1"/>
          <w:bCs w:val="1"/>
          <w:color w:val="303ab2"/>
          <w:sz w:val="24"/>
          <w:szCs w:val="24"/>
          <w:rtl w:val="0"/>
        </w:rPr>
        <w:t xml:space="preserve">Departamento de Comunicación de Fotocasa</w:t>
      </w:r>
    </w:p>
    <w:p w:rsidR="00000000" w:rsidDel="00000000" w:rsidP="00000000" w:rsidRDefault="00000000" w:rsidRPr="00000000" w14:paraId="00000013">
      <w:pPr>
        <w:shd w:fill="ffffff" w:val="clear"/>
        <w:ind w:right="-7"/>
        <w:jc w:val="right"/>
        <w:rPr>
          <w:rFonts w:ascii="Open Sans" w:cs="Open Sans" w:eastAsia="Open Sans" w:hAnsi="Open Sans"/>
          <w:b w:val="1"/>
          <w:bCs w:val="1"/>
          <w:sz w:val="21"/>
          <w:szCs w:val="21"/>
        </w:rPr>
      </w:pPr>
      <w:r w:rsidDel="00000000" w:rsidR="00000000" w:rsidRPr="00000000">
        <w:rPr>
          <w:rFonts w:ascii="Open Sans" w:cs="Open Sans" w:eastAsia="Open Sans" w:hAnsi="Open Sans"/>
          <w:b w:val="1"/>
          <w:bCs w:val="1"/>
          <w:sz w:val="21"/>
          <w:szCs w:val="21"/>
          <w:rtl w:val="0"/>
        </w:rPr>
        <w:t xml:space="preserve">Anaïs García</w:t>
      </w:r>
    </w:p>
    <w:p w:rsidR="00000000" w:rsidDel="00000000" w:rsidP="00000000" w:rsidRDefault="00000000" w:rsidRPr="00000000" w14:paraId="00000014">
      <w:pPr>
        <w:shd w:fill="ffffff" w:val="clear"/>
        <w:ind w:right="-7"/>
        <w:jc w:val="right"/>
        <w:rPr>
          <w:rFonts w:ascii="Open Sans" w:cs="Open Sans" w:eastAsia="Open Sans" w:hAnsi="Open Sans"/>
          <w:sz w:val="21"/>
          <w:szCs w:val="21"/>
        </w:rPr>
      </w:pPr>
      <w:r w:rsidDel="00000000" w:rsidR="00000000" w:rsidRPr="00000000">
        <w:rPr>
          <w:rFonts w:ascii="Open Sans" w:cs="Open Sans" w:eastAsia="Open Sans" w:hAnsi="Open Sans"/>
          <w:sz w:val="21"/>
          <w:szCs w:val="21"/>
          <w:rtl w:val="0"/>
        </w:rPr>
        <w:t xml:space="preserve">Móvil: 620 66 29 26</w:t>
      </w:r>
    </w:p>
    <w:p w:rsidR="00000000" w:rsidDel="00000000" w:rsidP="00000000" w:rsidRDefault="00000000" w:rsidRPr="00000000" w14:paraId="00000015">
      <w:pPr>
        <w:shd w:fill="ffffff" w:val="clear"/>
        <w:ind w:right="-7"/>
        <w:jc w:val="right"/>
        <w:rPr>
          <w:rFonts w:ascii="Open Sans" w:cs="Open Sans" w:eastAsia="Open Sans" w:hAnsi="Open Sans"/>
          <w:sz w:val="21"/>
          <w:szCs w:val="21"/>
        </w:rPr>
      </w:pPr>
      <w:hyperlink r:id="rId11">
        <w:r w:rsidDel="00000000" w:rsidR="00000000" w:rsidRPr="00000000">
          <w:rPr>
            <w:rFonts w:ascii="Open Sans" w:cs="Open Sans" w:eastAsia="Open Sans" w:hAnsi="Open Sans"/>
            <w:color w:val="0563c1"/>
            <w:sz w:val="21"/>
            <w:szCs w:val="21"/>
            <w:u w:val="single"/>
            <w:rtl w:val="0"/>
          </w:rPr>
          <w:t xml:space="preserve">comunicacion@fotocasa.es</w:t>
        </w:r>
      </w:hyperlink>
      <w:r w:rsidDel="00000000" w:rsidR="00000000" w:rsidRPr="00000000">
        <w:rPr>
          <w:rtl w:val="0"/>
        </w:rPr>
      </w:r>
    </w:p>
    <w:p w:rsidR="00000000" w:rsidDel="00000000" w:rsidP="00000000" w:rsidRDefault="00000000" w:rsidRPr="00000000" w14:paraId="00000016">
      <w:pPr>
        <w:shd w:fill="ffffff" w:val="clear"/>
        <w:ind w:right="-7"/>
        <w:jc w:val="right"/>
        <w:rPr>
          <w:rFonts w:ascii="Open Sans" w:cs="Open Sans" w:eastAsia="Open Sans" w:hAnsi="Open Sans"/>
          <w:sz w:val="21"/>
          <w:szCs w:val="21"/>
        </w:rPr>
      </w:pPr>
      <w:hyperlink r:id="rId12">
        <w:r w:rsidDel="00000000" w:rsidR="00000000" w:rsidRPr="00000000">
          <w:rPr>
            <w:rFonts w:ascii="Open Sans" w:cs="Open Sans" w:eastAsia="Open Sans" w:hAnsi="Open Sans"/>
            <w:color w:val="0563c1"/>
            <w:sz w:val="21"/>
            <w:szCs w:val="21"/>
            <w:u w:val="single"/>
            <w:rtl w:val="0"/>
          </w:rPr>
          <w:t xml:space="preserve">http://prensa.fotocasa.es</w:t>
        </w:r>
      </w:hyperlink>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headerReference r:id="rId13" w:type="default"/>
      <w:footerReference r:id="rId14"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ational"/>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-1916378</wp:posOffset>
          </wp:positionH>
          <wp:positionV relativeFrom="paragraph">
            <wp:posOffset>304800</wp:posOffset>
          </wp:positionV>
          <wp:extent cx="8620125" cy="447675"/>
          <wp:effectExtent b="0" l="0" r="0" t="0"/>
          <wp:wrapSquare wrapText="bothSides" distB="0" distT="0" distL="0" distR="0"/>
          <wp:docPr id="4" name="image2.png"/>
          <a:graphic>
            <a:graphicData uri="http://schemas.openxmlformats.org/drawingml/2006/picture">
              <pic:pic>
                <pic:nvPicPr>
                  <pic:cNvPr id="0" name="image2.png"/>
                  <pic:cNvPicPr preferRelativeResize="0"/>
                </pic:nvPicPr>
                <pic:blipFill>
                  <a:blip r:embed="rId1"/>
                  <a:srcRect b="0" l="-13043" r="617" t="0"/>
                  <a:stretch>
                    <a:fillRect/>
                  </a:stretch>
                </pic:blipFill>
                <pic:spPr>
                  <a:xfrm>
                    <a:off x="0" y="0"/>
                    <a:ext cx="8620125" cy="44767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-914386</wp:posOffset>
          </wp:positionH>
          <wp:positionV relativeFrom="paragraph">
            <wp:posOffset>-243187</wp:posOffset>
          </wp:positionV>
          <wp:extent cx="7711147" cy="1037167"/>
          <wp:effectExtent b="0" l="0" r="0" t="0"/>
          <wp:wrapSquare wrapText="bothSides" distB="0" distT="0" distL="0" distR="0"/>
          <wp:docPr descr="Patrón de fondo&#10;&#10;El contenido generado por IA puede ser incorrecto." id="3" name="image1.png"/>
          <a:graphic>
            <a:graphicData uri="http://schemas.openxmlformats.org/drawingml/2006/picture">
              <pic:pic>
                <pic:nvPicPr>
                  <pic:cNvPr descr="Patrón de fondo&#10;&#10;El contenido generado por IA puede ser incorrecto." id="0" name="image1.png"/>
                  <pic:cNvPicPr preferRelativeResize="0"/>
                </pic:nvPicPr>
                <pic:blipFill>
                  <a:blip r:embed="rId1"/>
                  <a:srcRect b="0" l="0" r="0" t="0"/>
                  <a:stretch>
                    <a:fillRect/>
                  </a:stretch>
                </pic:blipFill>
                <pic:spPr>
                  <a:xfrm>
                    <a:off x="0" y="0"/>
                    <a:ext cx="7711147" cy="1037167"/>
                  </a:xfrm>
                  <a:prstGeom prst="rect"/>
                  <a:ln/>
                </pic:spPr>
              </pic:pic>
            </a:graphicData>
          </a:graphic>
        </wp:anchor>
      </w:drawing>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comunicacion@fotocasa.es" TargetMode="External"/><Relationship Id="rId10" Type="http://schemas.openxmlformats.org/officeDocument/2006/relationships/hyperlink" Target="https://research.fotocasa.es/" TargetMode="External"/><Relationship Id="rId13" Type="http://schemas.openxmlformats.org/officeDocument/2006/relationships/header" Target="header1.xml"/><Relationship Id="rId12" Type="http://schemas.openxmlformats.org/officeDocument/2006/relationships/hyperlink" Target="http://prensa.fotocasa.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research.fotocasa.es/"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fotocasa.es/es/" TargetMode="External"/><Relationship Id="rId8" Type="http://schemas.openxmlformats.org/officeDocument/2006/relationships/hyperlink" Target="https://www.fotocasa.es/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AoX0x03QkPgTlEzM9+nlAy8i2g==">CgMxLjA4AHIhMTNJVWswa2Z1XzNFYTFHYVB2OGR2RHlTLV8wRGlwenFT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