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BF583F" w14:textId="77777777" w:rsidR="000569D1" w:rsidRDefault="00000000">
      <w:pPr>
        <w:ind w:right="-567"/>
      </w:pPr>
      <w:r>
        <w:rPr>
          <w:noProof/>
        </w:rPr>
        <w:drawing>
          <wp:anchor distT="0" distB="0" distL="114300" distR="114300" simplePos="0" relativeHeight="251658240" behindDoc="0" locked="0" layoutInCell="1" hidden="0" allowOverlap="1" wp14:anchorId="25115ADF" wp14:editId="25D7F37B">
            <wp:simplePos x="0" y="0"/>
            <wp:positionH relativeFrom="column">
              <wp:posOffset>-1080134</wp:posOffset>
            </wp:positionH>
            <wp:positionV relativeFrom="paragraph">
              <wp:posOffset>-794384</wp:posOffset>
            </wp:positionV>
            <wp:extent cx="7581265" cy="1019175"/>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7581265" cy="1019175"/>
                    </a:xfrm>
                    <a:prstGeom prst="rect">
                      <a:avLst/>
                    </a:prstGeom>
                    <a:ln/>
                  </pic:spPr>
                </pic:pic>
              </a:graphicData>
            </a:graphic>
          </wp:anchor>
        </w:drawing>
      </w:r>
    </w:p>
    <w:p w14:paraId="08A94521" w14:textId="77777777" w:rsidR="000569D1" w:rsidRDefault="000569D1">
      <w:pPr>
        <w:ind w:right="-567"/>
        <w:rPr>
          <w:rFonts w:ascii="National" w:eastAsia="National" w:hAnsi="National" w:cs="National"/>
          <w:color w:val="303AB2"/>
          <w:sz w:val="20"/>
          <w:szCs w:val="20"/>
          <w:vertAlign w:val="superscript"/>
        </w:rPr>
      </w:pPr>
    </w:p>
    <w:p w14:paraId="60CDA71A" w14:textId="77777777" w:rsidR="000569D1" w:rsidRDefault="000569D1">
      <w:pPr>
        <w:ind w:right="-567"/>
        <w:rPr>
          <w:rFonts w:ascii="National" w:eastAsia="National" w:hAnsi="National" w:cs="National"/>
          <w:color w:val="303AB2"/>
          <w:sz w:val="20"/>
          <w:szCs w:val="20"/>
          <w:vertAlign w:val="superscript"/>
        </w:rPr>
      </w:pPr>
    </w:p>
    <w:p w14:paraId="4C907F6A" w14:textId="77777777" w:rsidR="000569D1" w:rsidRDefault="00000000">
      <w:pPr>
        <w:spacing w:line="276" w:lineRule="auto"/>
        <w:ind w:right="-567" w:firstLine="708"/>
        <w:jc w:val="center"/>
        <w:rPr>
          <w:rFonts w:ascii="National" w:eastAsia="National" w:hAnsi="National" w:cs="National"/>
          <w:b/>
          <w:bCs/>
          <w:color w:val="1DBDC5"/>
          <w:sz w:val="40"/>
          <w:szCs w:val="40"/>
        </w:rPr>
      </w:pPr>
      <w:r>
        <w:rPr>
          <w:rFonts w:ascii="National" w:eastAsia="National" w:hAnsi="National" w:cs="National"/>
          <w:b/>
          <w:bCs/>
          <w:color w:val="1DBDC5"/>
          <w:sz w:val="40"/>
          <w:szCs w:val="40"/>
        </w:rPr>
        <w:t>JULIO: PRECIO VIVIENDA EN ALQUILER</w:t>
      </w:r>
    </w:p>
    <w:p w14:paraId="5E74DFB8" w14:textId="77777777" w:rsidR="000569D1" w:rsidRDefault="00000000">
      <w:pPr>
        <w:jc w:val="center"/>
        <w:rPr>
          <w:rFonts w:ascii="National" w:eastAsia="National" w:hAnsi="National" w:cs="National"/>
          <w:b/>
          <w:bCs/>
          <w:color w:val="303AB2"/>
          <w:sz w:val="44"/>
          <w:szCs w:val="44"/>
        </w:rPr>
      </w:pPr>
      <w:r>
        <w:rPr>
          <w:rFonts w:ascii="National" w:eastAsia="National" w:hAnsi="National" w:cs="National"/>
          <w:b/>
          <w:bCs/>
          <w:color w:val="303AB2"/>
          <w:sz w:val="44"/>
          <w:szCs w:val="44"/>
        </w:rPr>
        <w:t>Baja un 1,6% el precio del alquiler en España después de 52 meses consecutivos de subidas</w:t>
      </w:r>
    </w:p>
    <w:p w14:paraId="44B78A5B" w14:textId="77777777" w:rsidR="000569D1" w:rsidRDefault="000569D1">
      <w:pPr>
        <w:jc w:val="center"/>
        <w:rPr>
          <w:rFonts w:ascii="National" w:eastAsia="National" w:hAnsi="National" w:cs="National"/>
          <w:b/>
          <w:bCs/>
          <w:color w:val="303AB2"/>
          <w:sz w:val="20"/>
          <w:szCs w:val="20"/>
        </w:rPr>
      </w:pPr>
    </w:p>
    <w:p w14:paraId="5043B035" w14:textId="77777777" w:rsidR="000569D1" w:rsidRDefault="00000000">
      <w:pPr>
        <w:numPr>
          <w:ilvl w:val="0"/>
          <w:numId w:val="1"/>
        </w:numPr>
        <w:pBdr>
          <w:top w:val="nil"/>
          <w:left w:val="nil"/>
          <w:bottom w:val="nil"/>
          <w:right w:val="nil"/>
          <w:between w:val="nil"/>
        </w:pBdr>
        <w:spacing w:line="276" w:lineRule="auto"/>
        <w:jc w:val="both"/>
      </w:pPr>
      <w:r>
        <w:rPr>
          <w:rFonts w:ascii="Open Sans" w:eastAsia="Open Sans" w:hAnsi="Open Sans" w:cs="Open Sans"/>
          <w:color w:val="303AB2"/>
        </w:rPr>
        <w:t>Este dato marca la primera caída interanual tras 4,3 años de subidas ininterrumpidas, iniciadas en marzo de 2022</w:t>
      </w:r>
    </w:p>
    <w:p w14:paraId="4FCBB15A" w14:textId="77777777" w:rsidR="000569D1" w:rsidRDefault="00000000">
      <w:pPr>
        <w:numPr>
          <w:ilvl w:val="0"/>
          <w:numId w:val="1"/>
        </w:numPr>
        <w:pBdr>
          <w:top w:val="nil"/>
          <w:left w:val="nil"/>
          <w:bottom w:val="nil"/>
          <w:right w:val="nil"/>
          <w:between w:val="nil"/>
        </w:pBdr>
        <w:spacing w:line="276" w:lineRule="auto"/>
        <w:jc w:val="both"/>
      </w:pPr>
      <w:r>
        <w:rPr>
          <w:rFonts w:ascii="Open Sans" w:eastAsia="Open Sans" w:hAnsi="Open Sans" w:cs="Open Sans"/>
          <w:color w:val="303AB2"/>
        </w:rPr>
        <w:t>El precio del alquiler en julio se sitúa en 14,14 euros el metro cuadrado</w:t>
      </w:r>
    </w:p>
    <w:p w14:paraId="545FAA34" w14:textId="77777777" w:rsidR="000569D1" w:rsidRDefault="00000000">
      <w:pPr>
        <w:numPr>
          <w:ilvl w:val="0"/>
          <w:numId w:val="1"/>
        </w:numPr>
        <w:pBdr>
          <w:top w:val="nil"/>
          <w:left w:val="nil"/>
          <w:bottom w:val="nil"/>
          <w:right w:val="nil"/>
          <w:between w:val="nil"/>
        </w:pBdr>
        <w:spacing w:line="276" w:lineRule="auto"/>
        <w:jc w:val="both"/>
      </w:pPr>
      <w:r>
        <w:rPr>
          <w:rFonts w:ascii="Open Sans" w:eastAsia="Open Sans" w:hAnsi="Open Sans" w:cs="Open Sans"/>
          <w:color w:val="303AB2"/>
        </w:rPr>
        <w:t>En julio se detectan caídas interanuales en las comunidades de Cataluña (-16,3%), Madrid (-10,6%) y País Vasco (-0,1%)</w:t>
      </w:r>
    </w:p>
    <w:p w14:paraId="751164EE" w14:textId="77777777" w:rsidR="000569D1" w:rsidRDefault="00000000">
      <w:pPr>
        <w:numPr>
          <w:ilvl w:val="0"/>
          <w:numId w:val="1"/>
        </w:numPr>
        <w:pBdr>
          <w:top w:val="nil"/>
          <w:left w:val="nil"/>
          <w:bottom w:val="nil"/>
          <w:right w:val="nil"/>
          <w:between w:val="nil"/>
        </w:pBdr>
        <w:spacing w:line="276" w:lineRule="auto"/>
        <w:jc w:val="both"/>
      </w:pPr>
      <w:r>
        <w:rPr>
          <w:rFonts w:ascii="Open Sans" w:eastAsia="Open Sans" w:hAnsi="Open Sans" w:cs="Open Sans"/>
          <w:color w:val="303AB2"/>
        </w:rPr>
        <w:t>Todos los distritos de Barcelona y 17 de los 21 distritos de Madrid registran un descenso del precio medio del alquiler ofertado en el portal en comparación con el año anterior</w:t>
      </w:r>
    </w:p>
    <w:p w14:paraId="3759E8B6" w14:textId="77777777" w:rsidR="000569D1" w:rsidRDefault="000569D1">
      <w:pPr>
        <w:numPr>
          <w:ilvl w:val="0"/>
          <w:numId w:val="1"/>
        </w:numPr>
        <w:pBdr>
          <w:top w:val="nil"/>
          <w:left w:val="nil"/>
          <w:bottom w:val="nil"/>
          <w:right w:val="nil"/>
          <w:between w:val="nil"/>
        </w:pBdr>
        <w:spacing w:line="276" w:lineRule="auto"/>
        <w:jc w:val="both"/>
        <w:rPr>
          <w:b/>
          <w:bCs/>
        </w:rPr>
      </w:pPr>
      <w:hyperlink r:id="rId9">
        <w:r>
          <w:rPr>
            <w:rFonts w:ascii="Open Sans" w:eastAsia="Open Sans" w:hAnsi="Open Sans" w:cs="Open Sans"/>
            <w:b/>
            <w:bCs/>
            <w:color w:val="0000FF"/>
            <w:u w:val="single"/>
          </w:rPr>
          <w:t>Aquí se puede ver un vídeo con la valoración de la directora de Estudios de Fotocasa, María Matos</w:t>
        </w:r>
      </w:hyperlink>
    </w:p>
    <w:p w14:paraId="0F41577A" w14:textId="77777777" w:rsidR="000569D1" w:rsidRDefault="000569D1">
      <w:pPr>
        <w:pBdr>
          <w:top w:val="nil"/>
          <w:left w:val="nil"/>
          <w:bottom w:val="nil"/>
          <w:right w:val="nil"/>
          <w:between w:val="nil"/>
        </w:pBdr>
        <w:spacing w:line="276" w:lineRule="auto"/>
        <w:ind w:left="720"/>
        <w:jc w:val="both"/>
        <w:rPr>
          <w:rFonts w:ascii="Open Sans" w:eastAsia="Open Sans" w:hAnsi="Open Sans" w:cs="Open Sans"/>
          <w:color w:val="303AB2"/>
        </w:rPr>
      </w:pPr>
    </w:p>
    <w:p w14:paraId="58C59020" w14:textId="59A45324" w:rsidR="000569D1" w:rsidRDefault="00000000">
      <w:pPr>
        <w:pBdr>
          <w:top w:val="nil"/>
          <w:left w:val="nil"/>
          <w:bottom w:val="nil"/>
          <w:right w:val="nil"/>
          <w:between w:val="nil"/>
        </w:pBdr>
        <w:spacing w:line="276" w:lineRule="auto"/>
        <w:jc w:val="both"/>
        <w:rPr>
          <w:rFonts w:ascii="Open Sans" w:eastAsia="Open Sans" w:hAnsi="Open Sans" w:cs="Open Sans"/>
          <w:color w:val="303AB2"/>
        </w:rPr>
      </w:pPr>
      <w:r>
        <w:rPr>
          <w:rFonts w:ascii="Open Sans" w:eastAsia="Open Sans" w:hAnsi="Open Sans" w:cs="Open Sans"/>
          <w:color w:val="303AB2"/>
        </w:rPr>
        <w:t xml:space="preserve">Madrid, </w:t>
      </w:r>
      <w:r w:rsidR="000C0D6B">
        <w:rPr>
          <w:rFonts w:ascii="Open Sans" w:eastAsia="Open Sans" w:hAnsi="Open Sans" w:cs="Open Sans"/>
          <w:color w:val="303AB2"/>
        </w:rPr>
        <w:t>6</w:t>
      </w:r>
      <w:r>
        <w:rPr>
          <w:rFonts w:ascii="Open Sans" w:eastAsia="Open Sans" w:hAnsi="Open Sans" w:cs="Open Sans"/>
          <w:color w:val="303AB2"/>
        </w:rPr>
        <w:t xml:space="preserve"> de agosto de 2026</w:t>
      </w:r>
    </w:p>
    <w:p w14:paraId="2E370D4B" w14:textId="77777777" w:rsidR="000569D1" w:rsidRDefault="00000000">
      <w:pPr>
        <w:pBdr>
          <w:top w:val="nil"/>
          <w:left w:val="nil"/>
          <w:bottom w:val="nil"/>
          <w:right w:val="nil"/>
          <w:between w:val="nil"/>
        </w:pBdr>
        <w:shd w:val="clear" w:color="auto" w:fill="FFFFFF"/>
        <w:tabs>
          <w:tab w:val="left" w:pos="3119"/>
        </w:tabs>
        <w:spacing w:before="280" w:after="280" w:line="276" w:lineRule="auto"/>
        <w:jc w:val="both"/>
        <w:rPr>
          <w:rFonts w:ascii="Open Sans" w:eastAsia="Open Sans" w:hAnsi="Open Sans" w:cs="Open Sans"/>
          <w:color w:val="000000"/>
        </w:rPr>
      </w:pPr>
      <w:r>
        <w:rPr>
          <w:rFonts w:ascii="Open Sans" w:eastAsia="Open Sans" w:hAnsi="Open Sans" w:cs="Open Sans"/>
          <w:color w:val="000000"/>
        </w:rPr>
        <w:t>El precio de la vivienda en alquiler en España cae un -4,4% en su variación mensual y un -1,6% en su variación interanual, situando el precio de la vivienda en julio en 14,14 euros/m</w:t>
      </w:r>
      <w:r>
        <w:rPr>
          <w:rFonts w:ascii="Open Sans" w:eastAsia="Open Sans" w:hAnsi="Open Sans" w:cs="Open Sans"/>
          <w:color w:val="000000"/>
          <w:vertAlign w:val="superscript"/>
        </w:rPr>
        <w:t>2</w:t>
      </w:r>
      <w:r>
        <w:rPr>
          <w:rFonts w:ascii="Open Sans" w:eastAsia="Open Sans" w:hAnsi="Open Sans" w:cs="Open Sans"/>
          <w:color w:val="000000"/>
        </w:rPr>
        <w:t xml:space="preserve"> al mes, según los datos del Índice Inmobiliario </w:t>
      </w:r>
      <w:hyperlink r:id="rId10">
        <w:r w:rsidR="000569D1">
          <w:rPr>
            <w:rFonts w:ascii="Open Sans" w:eastAsia="Open Sans" w:hAnsi="Open Sans" w:cs="Open Sans"/>
            <w:color w:val="0000FF"/>
            <w:u w:val="single"/>
          </w:rPr>
          <w:t>Fotocasa</w:t>
        </w:r>
      </w:hyperlink>
      <w:r>
        <w:rPr>
          <w:rFonts w:ascii="Times New Roman" w:eastAsia="Times New Roman" w:hAnsi="Times New Roman" w:cs="Times New Roman"/>
          <w:color w:val="000000"/>
        </w:rPr>
        <w:t xml:space="preserve">. </w:t>
      </w:r>
      <w:r>
        <w:rPr>
          <w:rFonts w:ascii="Open Sans" w:eastAsia="Open Sans" w:hAnsi="Open Sans" w:cs="Open Sans"/>
          <w:color w:val="000000"/>
        </w:rPr>
        <w:t>Este descenso interanual rompe una racha de 52 meses consecutivos de subidas, iniciada en marzo de 2022, es decir, hace 4,3 años.</w:t>
      </w:r>
    </w:p>
    <w:p w14:paraId="1105BEC8" w14:textId="77777777" w:rsidR="000569D1" w:rsidRDefault="00000000">
      <w:pPr>
        <w:spacing w:line="276" w:lineRule="auto"/>
        <w:ind w:left="708" w:right="-567" w:hanging="708"/>
        <w:jc w:val="center"/>
      </w:pPr>
      <w:r>
        <w:rPr>
          <w:rFonts w:ascii="Open Sans Light" w:eastAsia="Open Sans Light" w:hAnsi="Open Sans Light" w:cs="Open Sans Light"/>
          <w:b/>
          <w:bCs/>
          <w:color w:val="303AB2"/>
          <w:sz w:val="28"/>
          <w:szCs w:val="28"/>
        </w:rPr>
        <w:t>Incremento mensual e interanual del precio del alquiler</w:t>
      </w:r>
      <w:r>
        <w:t xml:space="preserve"> </w:t>
      </w:r>
    </w:p>
    <w:p w14:paraId="2474AB8A" w14:textId="77777777" w:rsidR="000569D1" w:rsidRDefault="00000000">
      <w:pPr>
        <w:spacing w:line="276" w:lineRule="auto"/>
        <w:ind w:left="708" w:right="-567" w:hanging="708"/>
        <w:jc w:val="center"/>
        <w:rPr>
          <w:rFonts w:ascii="Open Sans" w:eastAsia="Open Sans" w:hAnsi="Open Sans" w:cs="Open Sans"/>
          <w:color w:val="000000"/>
        </w:rPr>
      </w:pPr>
      <w:r>
        <w:rPr>
          <w:rFonts w:ascii="Open Sans" w:eastAsia="Open Sans" w:hAnsi="Open Sans" w:cs="Open Sans"/>
          <w:noProof/>
          <w:color w:val="000000"/>
        </w:rPr>
        <w:drawing>
          <wp:inline distT="0" distB="0" distL="0" distR="0" wp14:anchorId="68A480AF" wp14:editId="09E9B2F6">
            <wp:extent cx="5226319" cy="2235315"/>
            <wp:effectExtent l="0" t="0" r="0" b="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5226319" cy="2235315"/>
                    </a:xfrm>
                    <a:prstGeom prst="rect">
                      <a:avLst/>
                    </a:prstGeom>
                    <a:ln/>
                  </pic:spPr>
                </pic:pic>
              </a:graphicData>
            </a:graphic>
          </wp:inline>
        </w:drawing>
      </w:r>
    </w:p>
    <w:p w14:paraId="2AE59F68" w14:textId="01E210A3" w:rsidR="000569D1" w:rsidRDefault="00000000">
      <w:pPr>
        <w:spacing w:line="276" w:lineRule="auto"/>
        <w:ind w:right="-567"/>
        <w:jc w:val="both"/>
        <w:rPr>
          <w:rFonts w:ascii="Open Sans" w:eastAsia="Open Sans" w:hAnsi="Open Sans" w:cs="Open Sans"/>
          <w:color w:val="434343"/>
        </w:rPr>
      </w:pPr>
      <w:r>
        <w:rPr>
          <w:rFonts w:ascii="Open Sans" w:eastAsia="Open Sans" w:hAnsi="Open Sans" w:cs="Open Sans"/>
          <w:color w:val="434343"/>
        </w:rPr>
        <w:lastRenderedPageBreak/>
        <w:t xml:space="preserve">“Por primera vez </w:t>
      </w:r>
      <w:r w:rsidR="0078477B">
        <w:rPr>
          <w:rFonts w:ascii="Open Sans" w:eastAsia="Open Sans" w:hAnsi="Open Sans" w:cs="Open Sans"/>
          <w:color w:val="434343"/>
        </w:rPr>
        <w:t xml:space="preserve">en cuatro años </w:t>
      </w:r>
      <w:r>
        <w:rPr>
          <w:rFonts w:ascii="Open Sans" w:eastAsia="Open Sans" w:hAnsi="Open Sans" w:cs="Open Sans"/>
          <w:color w:val="434343"/>
        </w:rPr>
        <w:t xml:space="preserve">el precio del alquiler baja. La evolución del precio del alquiler confirma lo que veníamos anticipando durante los últimos seis meses. Tras más de cuatro años de subidas ininterrumpidas, el mercado registra su primera caída, un ajuste esperado después de que los incrementos se fueran moderando progresivamente y quedaran atrás las fuertes alzas de dos dígitos. Este cambio marca un punto de inflexión: el precio ha alcanzado el límite de la capacidad de pago de los inquilinos y comienza a corregirse tras el mayor ciclo alcista de las últimas dos décadas. Es especialmente significativo que Madrid y Cataluña lideren estas bajadas, ya que son los mercados donde las rentas habían alcanzado los niveles más elevados. Esto confirma que la moderación comienza precisamente en las zonas donde el esfuerzo económico exigido a los hogares era más extremo”, </w:t>
      </w:r>
      <w:r w:rsidRPr="0078477B">
        <w:rPr>
          <w:rFonts w:ascii="Open Sans" w:eastAsia="Open Sans" w:hAnsi="Open Sans" w:cs="Open Sans"/>
          <w:b/>
          <w:bCs/>
          <w:color w:val="434343"/>
        </w:rPr>
        <w:t xml:space="preserve">explica María Matos, directora de Estudios y portavoz de </w:t>
      </w:r>
      <w:hyperlink r:id="rId12">
        <w:r w:rsidR="000569D1" w:rsidRPr="0078477B">
          <w:rPr>
            <w:rFonts w:ascii="Open Sans" w:eastAsia="Open Sans" w:hAnsi="Open Sans" w:cs="Open Sans"/>
            <w:b/>
            <w:bCs/>
            <w:color w:val="1155CC"/>
            <w:u w:val="single"/>
          </w:rPr>
          <w:t>Fotocasa</w:t>
        </w:r>
      </w:hyperlink>
      <w:r w:rsidRPr="0078477B">
        <w:rPr>
          <w:rFonts w:ascii="Open Sans" w:eastAsia="Open Sans" w:hAnsi="Open Sans" w:cs="Open Sans"/>
          <w:b/>
          <w:bCs/>
          <w:color w:val="434343"/>
        </w:rPr>
        <w:t>.</w:t>
      </w:r>
      <w:r>
        <w:rPr>
          <w:rFonts w:ascii="Open Sans" w:eastAsia="Open Sans" w:hAnsi="Open Sans" w:cs="Open Sans"/>
          <w:color w:val="434343"/>
        </w:rPr>
        <w:t xml:space="preserve"> </w:t>
      </w:r>
    </w:p>
    <w:p w14:paraId="222AD6CB" w14:textId="77777777" w:rsidR="000569D1" w:rsidRDefault="000569D1">
      <w:pPr>
        <w:spacing w:line="276" w:lineRule="auto"/>
        <w:ind w:right="-567"/>
        <w:jc w:val="both"/>
        <w:rPr>
          <w:rFonts w:ascii="Open Sans" w:eastAsia="Open Sans" w:hAnsi="Open Sans" w:cs="Open Sans"/>
          <w:color w:val="000000"/>
        </w:rPr>
      </w:pPr>
    </w:p>
    <w:p w14:paraId="7746E7F8" w14:textId="77777777" w:rsidR="006B0804" w:rsidRDefault="006B0804">
      <w:pPr>
        <w:spacing w:line="276" w:lineRule="auto"/>
        <w:ind w:right="-567"/>
        <w:jc w:val="both"/>
        <w:rPr>
          <w:rFonts w:ascii="Open Sans" w:eastAsia="Open Sans" w:hAnsi="Open Sans" w:cs="Open Sans"/>
          <w:color w:val="000000"/>
        </w:rPr>
      </w:pPr>
    </w:p>
    <w:p w14:paraId="607EDFD8" w14:textId="77777777" w:rsidR="000569D1" w:rsidRDefault="000569D1">
      <w:pPr>
        <w:spacing w:line="276" w:lineRule="auto"/>
        <w:ind w:right="-567"/>
        <w:jc w:val="center"/>
        <w:rPr>
          <w:rFonts w:ascii="Open Sans" w:eastAsia="Open Sans" w:hAnsi="Open Sans" w:cs="Open Sans"/>
          <w:b/>
          <w:bCs/>
          <w:color w:val="000000"/>
          <w:sz w:val="28"/>
          <w:szCs w:val="28"/>
        </w:rPr>
      </w:pPr>
      <w:hyperlink r:id="rId13">
        <w:r>
          <w:rPr>
            <w:rFonts w:ascii="Open Sans" w:eastAsia="Open Sans" w:hAnsi="Open Sans" w:cs="Open Sans"/>
            <w:b/>
            <w:bCs/>
            <w:color w:val="0000FF"/>
            <w:sz w:val="28"/>
            <w:szCs w:val="28"/>
            <w:u w:val="single"/>
          </w:rPr>
          <w:t>Declaraciones de María Matos, directora de Estudios de Fotocasa</w:t>
        </w:r>
      </w:hyperlink>
    </w:p>
    <w:p w14:paraId="7E5E40D9" w14:textId="77777777" w:rsidR="000569D1" w:rsidRDefault="000569D1">
      <w:pPr>
        <w:spacing w:line="276" w:lineRule="auto"/>
        <w:ind w:right="-567"/>
        <w:jc w:val="both"/>
        <w:rPr>
          <w:rFonts w:ascii="Open Sans" w:eastAsia="Open Sans" w:hAnsi="Open Sans" w:cs="Open Sans"/>
          <w:color w:val="000000"/>
        </w:rPr>
      </w:pPr>
    </w:p>
    <w:p w14:paraId="00EACDCE" w14:textId="77777777" w:rsidR="000569D1" w:rsidRDefault="00000000">
      <w:pPr>
        <w:spacing w:line="276" w:lineRule="auto"/>
        <w:ind w:right="-567"/>
        <w:jc w:val="both"/>
        <w:rPr>
          <w:rFonts w:ascii="Open Sans" w:eastAsia="Open Sans" w:hAnsi="Open Sans" w:cs="Open Sans"/>
          <w:color w:val="000000"/>
        </w:rPr>
      </w:pPr>
      <w:r>
        <w:rPr>
          <w:rFonts w:ascii="Open Sans" w:eastAsia="Open Sans" w:hAnsi="Open Sans" w:cs="Open Sans"/>
          <w:noProof/>
          <w:color w:val="000000"/>
        </w:rPr>
        <w:drawing>
          <wp:inline distT="0" distB="0" distL="0" distR="0" wp14:anchorId="658344BB" wp14:editId="77F0B111">
            <wp:extent cx="5777814" cy="2801611"/>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4"/>
                    <a:srcRect/>
                    <a:stretch>
                      <a:fillRect/>
                    </a:stretch>
                  </pic:blipFill>
                  <pic:spPr>
                    <a:xfrm>
                      <a:off x="0" y="0"/>
                      <a:ext cx="5777814" cy="2801611"/>
                    </a:xfrm>
                    <a:prstGeom prst="rect">
                      <a:avLst/>
                    </a:prstGeom>
                    <a:ln/>
                  </pic:spPr>
                </pic:pic>
              </a:graphicData>
            </a:graphic>
          </wp:inline>
        </w:drawing>
      </w:r>
    </w:p>
    <w:p w14:paraId="4AE60CCF" w14:textId="77777777" w:rsidR="000569D1" w:rsidRDefault="000569D1">
      <w:pPr>
        <w:spacing w:line="276" w:lineRule="auto"/>
        <w:ind w:right="-567"/>
        <w:jc w:val="both"/>
        <w:rPr>
          <w:rFonts w:ascii="Open Sans" w:eastAsia="Open Sans" w:hAnsi="Open Sans" w:cs="Open Sans"/>
          <w:color w:val="000000"/>
        </w:rPr>
      </w:pPr>
    </w:p>
    <w:p w14:paraId="76864B25" w14:textId="77777777" w:rsidR="000569D1" w:rsidRDefault="000569D1">
      <w:pPr>
        <w:spacing w:line="276" w:lineRule="auto"/>
        <w:ind w:right="-567"/>
        <w:jc w:val="both"/>
        <w:rPr>
          <w:rFonts w:ascii="Open Sans" w:eastAsia="Open Sans" w:hAnsi="Open Sans" w:cs="Open Sans"/>
          <w:color w:val="000000"/>
        </w:rPr>
      </w:pPr>
    </w:p>
    <w:p w14:paraId="18FDCFF7" w14:textId="77777777" w:rsidR="000569D1" w:rsidRDefault="00000000">
      <w:pPr>
        <w:spacing w:line="276" w:lineRule="auto"/>
        <w:ind w:right="-567"/>
        <w:jc w:val="both"/>
        <w:rPr>
          <w:rFonts w:ascii="Open Sans" w:eastAsia="Open Sans" w:hAnsi="Open Sans" w:cs="Open Sans"/>
          <w:color w:val="000000"/>
        </w:rPr>
      </w:pPr>
      <w:r>
        <w:rPr>
          <w:rFonts w:ascii="Open Sans" w:eastAsia="Open Sans" w:hAnsi="Open Sans" w:cs="Open Sans"/>
          <w:color w:val="000000"/>
        </w:rPr>
        <w:t>Si analizamos los precios respecto a los de hace un año, Cataluña lidera los descensos del precio del alquiler, con una caída del 16,3%, la más acusada de su serie histórica. Le sigue Madrid, con un retroceso del 10,6%, el segundo mayor registrado, solo por detrás del 10,7 % de abril de 2021.</w:t>
      </w:r>
    </w:p>
    <w:p w14:paraId="5C200494" w14:textId="77777777" w:rsidR="000569D1" w:rsidRDefault="000569D1">
      <w:pPr>
        <w:spacing w:line="276" w:lineRule="auto"/>
        <w:ind w:right="-567"/>
        <w:jc w:val="both"/>
        <w:rPr>
          <w:rFonts w:ascii="Open Sans" w:eastAsia="Open Sans" w:hAnsi="Open Sans" w:cs="Open Sans"/>
          <w:color w:val="000000"/>
        </w:rPr>
      </w:pPr>
    </w:p>
    <w:p w14:paraId="535C9767" w14:textId="77777777" w:rsidR="000569D1" w:rsidRDefault="00000000">
      <w:pPr>
        <w:spacing w:line="276" w:lineRule="auto"/>
        <w:ind w:right="-567"/>
        <w:jc w:val="both"/>
        <w:rPr>
          <w:rFonts w:ascii="Open Sans" w:eastAsia="Open Sans" w:hAnsi="Open Sans" w:cs="Open Sans"/>
          <w:color w:val="000000"/>
        </w:rPr>
      </w:pPr>
      <w:r>
        <w:rPr>
          <w:rFonts w:ascii="Open Sans" w:eastAsia="Open Sans" w:hAnsi="Open Sans" w:cs="Open Sans"/>
          <w:color w:val="000000"/>
        </w:rPr>
        <w:lastRenderedPageBreak/>
        <w:t>Mientras, las comunidades autónomas con incrementos de mayor a menor precio son: Aragón (13,3%), Castilla-La Mancha (11,7%), Navarra (8,6%), Extremadura (8,3%), Asturias (7,5%), Canarias (7,2%), Comunitat Valenciana (6,2%), Castilla y León (5,7%), Región de Murcia (5,2%), Andalucía (4,4%), Galicia (2,4%), La Rioja (2,2%), Baleares (0,3%) y Cantabria (0,2%). Por otro lado, las tres regiones con descensos interanuales son Cataluña (-16,3%), Madrid (-10,6%) y País Vasco (-0,1%).</w:t>
      </w:r>
    </w:p>
    <w:p w14:paraId="22292B01" w14:textId="77777777" w:rsidR="000569D1" w:rsidRDefault="000569D1">
      <w:pPr>
        <w:spacing w:line="276" w:lineRule="auto"/>
        <w:ind w:right="-567"/>
        <w:jc w:val="both"/>
        <w:rPr>
          <w:rFonts w:ascii="Open Sans" w:eastAsia="Open Sans" w:hAnsi="Open Sans" w:cs="Open Sans"/>
          <w:color w:val="000000"/>
        </w:rPr>
      </w:pPr>
    </w:p>
    <w:p w14:paraId="20637E03" w14:textId="77777777" w:rsidR="000569D1" w:rsidRDefault="00000000">
      <w:pPr>
        <w:spacing w:line="276" w:lineRule="auto"/>
        <w:ind w:right="-567"/>
        <w:jc w:val="both"/>
        <w:rPr>
          <w:rFonts w:ascii="Open Sans" w:eastAsia="Open Sans" w:hAnsi="Open Sans" w:cs="Open Sans"/>
          <w:color w:val="000000"/>
        </w:rPr>
      </w:pPr>
      <w:r>
        <w:rPr>
          <w:rFonts w:ascii="Open Sans" w:eastAsia="Open Sans" w:hAnsi="Open Sans" w:cs="Open Sans"/>
          <w:color w:val="000000"/>
        </w:rPr>
        <w:t xml:space="preserve">En cuanto al ranking de Comunidades Autónomas (CC.AA.) con el precio de la vivienda más caras para alquilar una vivienda en España, </w:t>
      </w:r>
      <w:r>
        <w:rPr>
          <w:rFonts w:ascii="Open Sans" w:eastAsia="Open Sans" w:hAnsi="Open Sans" w:cs="Open Sans"/>
          <w:b/>
          <w:bCs/>
          <w:color w:val="000000"/>
        </w:rPr>
        <w:t>las cinco con precios superiores a los 15,00 €/m</w:t>
      </w:r>
      <w:r>
        <w:rPr>
          <w:rFonts w:ascii="Open Sans" w:eastAsia="Open Sans" w:hAnsi="Open Sans" w:cs="Open Sans"/>
          <w:b/>
          <w:bCs/>
          <w:color w:val="000000"/>
          <w:vertAlign w:val="superscript"/>
        </w:rPr>
        <w:t>2</w:t>
      </w:r>
      <w:r>
        <w:rPr>
          <w:rFonts w:ascii="Open Sans" w:eastAsia="Open Sans" w:hAnsi="Open Sans" w:cs="Open Sans"/>
          <w:b/>
          <w:bCs/>
          <w:color w:val="000000"/>
        </w:rPr>
        <w:t xml:space="preserve"> al mes son: Madrid con 19,27 €/m</w:t>
      </w:r>
      <w:r>
        <w:rPr>
          <w:rFonts w:ascii="Open Sans" w:eastAsia="Open Sans" w:hAnsi="Open Sans" w:cs="Open Sans"/>
          <w:b/>
          <w:bCs/>
          <w:color w:val="000000"/>
          <w:vertAlign w:val="superscript"/>
        </w:rPr>
        <w:t>2</w:t>
      </w:r>
      <w:r>
        <w:rPr>
          <w:rFonts w:ascii="Open Sans" w:eastAsia="Open Sans" w:hAnsi="Open Sans" w:cs="Open Sans"/>
          <w:b/>
          <w:bCs/>
          <w:color w:val="000000"/>
        </w:rPr>
        <w:t xml:space="preserve"> al mes, Baleares con 19,07 €/m</w:t>
      </w:r>
      <w:r>
        <w:rPr>
          <w:rFonts w:ascii="Open Sans" w:eastAsia="Open Sans" w:hAnsi="Open Sans" w:cs="Open Sans"/>
          <w:b/>
          <w:bCs/>
          <w:color w:val="000000"/>
          <w:vertAlign w:val="superscript"/>
        </w:rPr>
        <w:t>2</w:t>
      </w:r>
      <w:r>
        <w:rPr>
          <w:rFonts w:ascii="Open Sans" w:eastAsia="Open Sans" w:hAnsi="Open Sans" w:cs="Open Sans"/>
          <w:b/>
          <w:bCs/>
          <w:color w:val="000000"/>
        </w:rPr>
        <w:t xml:space="preserve"> al mes, Cataluña con 17,08 €/m</w:t>
      </w:r>
      <w:r>
        <w:rPr>
          <w:rFonts w:ascii="Open Sans" w:eastAsia="Open Sans" w:hAnsi="Open Sans" w:cs="Open Sans"/>
          <w:b/>
          <w:bCs/>
          <w:color w:val="000000"/>
          <w:vertAlign w:val="superscript"/>
        </w:rPr>
        <w:t>2</w:t>
      </w:r>
      <w:r>
        <w:rPr>
          <w:rFonts w:ascii="Open Sans" w:eastAsia="Open Sans" w:hAnsi="Open Sans" w:cs="Open Sans"/>
          <w:b/>
          <w:bCs/>
          <w:color w:val="000000"/>
        </w:rPr>
        <w:t xml:space="preserve"> al mes, País Vasco con 16,98 €/m</w:t>
      </w:r>
      <w:r>
        <w:rPr>
          <w:rFonts w:ascii="Open Sans" w:eastAsia="Open Sans" w:hAnsi="Open Sans" w:cs="Open Sans"/>
          <w:b/>
          <w:bCs/>
          <w:color w:val="000000"/>
          <w:vertAlign w:val="superscript"/>
        </w:rPr>
        <w:t>2</w:t>
      </w:r>
      <w:r>
        <w:rPr>
          <w:rFonts w:ascii="Open Sans" w:eastAsia="Open Sans" w:hAnsi="Open Sans" w:cs="Open Sans"/>
          <w:b/>
          <w:bCs/>
          <w:color w:val="000000"/>
        </w:rPr>
        <w:t xml:space="preserve"> al mes y Canarias con 16,09 €/m</w:t>
      </w:r>
      <w:r>
        <w:rPr>
          <w:rFonts w:ascii="Open Sans" w:eastAsia="Open Sans" w:hAnsi="Open Sans" w:cs="Open Sans"/>
          <w:b/>
          <w:bCs/>
          <w:color w:val="000000"/>
          <w:vertAlign w:val="superscript"/>
        </w:rPr>
        <w:t>2</w:t>
      </w:r>
      <w:r>
        <w:rPr>
          <w:rFonts w:ascii="Open Sans" w:eastAsia="Open Sans" w:hAnsi="Open Sans" w:cs="Open Sans"/>
          <w:b/>
          <w:bCs/>
          <w:color w:val="000000"/>
        </w:rPr>
        <w:t xml:space="preserve"> al mes.</w:t>
      </w:r>
      <w:r>
        <w:rPr>
          <w:rFonts w:ascii="Open Sans" w:eastAsia="Open Sans" w:hAnsi="Open Sans" w:cs="Open Sans"/>
          <w:color w:val="000000"/>
        </w:rPr>
        <w:t xml:space="preserve"> Le siguen, Comunitat Valenciana con 14,80 €/m</w:t>
      </w:r>
      <w:r>
        <w:rPr>
          <w:rFonts w:ascii="Open Sans" w:eastAsia="Open Sans" w:hAnsi="Open Sans" w:cs="Open Sans"/>
          <w:color w:val="000000"/>
          <w:vertAlign w:val="superscript"/>
        </w:rPr>
        <w:t>2</w:t>
      </w:r>
      <w:r>
        <w:rPr>
          <w:rFonts w:ascii="Open Sans" w:eastAsia="Open Sans" w:hAnsi="Open Sans" w:cs="Open Sans"/>
          <w:color w:val="000000"/>
        </w:rPr>
        <w:t xml:space="preserve"> al mes, Cantabria con 14,03 €/m</w:t>
      </w:r>
      <w:r>
        <w:rPr>
          <w:rFonts w:ascii="Open Sans" w:eastAsia="Open Sans" w:hAnsi="Open Sans" w:cs="Open Sans"/>
          <w:color w:val="000000"/>
          <w:vertAlign w:val="superscript"/>
        </w:rPr>
        <w:t>2</w:t>
      </w:r>
      <w:r>
        <w:rPr>
          <w:rFonts w:ascii="Open Sans" w:eastAsia="Open Sans" w:hAnsi="Open Sans" w:cs="Open Sans"/>
          <w:color w:val="000000"/>
        </w:rPr>
        <w:t xml:space="preserve"> al mes, Navarra con 13,02 €/m</w:t>
      </w:r>
      <w:r>
        <w:rPr>
          <w:rFonts w:ascii="Open Sans" w:eastAsia="Open Sans" w:hAnsi="Open Sans" w:cs="Open Sans"/>
          <w:color w:val="000000"/>
          <w:vertAlign w:val="superscript"/>
        </w:rPr>
        <w:t>2</w:t>
      </w:r>
      <w:r>
        <w:rPr>
          <w:rFonts w:ascii="Open Sans" w:eastAsia="Open Sans" w:hAnsi="Open Sans" w:cs="Open Sans"/>
          <w:color w:val="000000"/>
        </w:rPr>
        <w:t xml:space="preserve"> al mes,  Asturias con 12,33 €/m</w:t>
      </w:r>
      <w:r>
        <w:rPr>
          <w:rFonts w:ascii="Open Sans" w:eastAsia="Open Sans" w:hAnsi="Open Sans" w:cs="Open Sans"/>
          <w:color w:val="000000"/>
          <w:vertAlign w:val="superscript"/>
        </w:rPr>
        <w:t>2</w:t>
      </w:r>
      <w:r>
        <w:rPr>
          <w:rFonts w:ascii="Open Sans" w:eastAsia="Open Sans" w:hAnsi="Open Sans" w:cs="Open Sans"/>
          <w:color w:val="000000"/>
        </w:rPr>
        <w:t xml:space="preserve"> al mes,  Aragón con 12,12 €/m</w:t>
      </w:r>
      <w:r>
        <w:rPr>
          <w:rFonts w:ascii="Open Sans" w:eastAsia="Open Sans" w:hAnsi="Open Sans" w:cs="Open Sans"/>
          <w:color w:val="000000"/>
          <w:vertAlign w:val="superscript"/>
        </w:rPr>
        <w:t>2</w:t>
      </w:r>
      <w:r>
        <w:rPr>
          <w:rFonts w:ascii="Open Sans" w:eastAsia="Open Sans" w:hAnsi="Open Sans" w:cs="Open Sans"/>
          <w:color w:val="000000"/>
        </w:rPr>
        <w:t xml:space="preserve"> al mes, Andalucía con 12,04 €/m</w:t>
      </w:r>
      <w:r>
        <w:rPr>
          <w:rFonts w:ascii="Open Sans" w:eastAsia="Open Sans" w:hAnsi="Open Sans" w:cs="Open Sans"/>
          <w:color w:val="000000"/>
          <w:vertAlign w:val="superscript"/>
        </w:rPr>
        <w:t>2</w:t>
      </w:r>
      <w:r>
        <w:rPr>
          <w:rFonts w:ascii="Open Sans" w:eastAsia="Open Sans" w:hAnsi="Open Sans" w:cs="Open Sans"/>
          <w:color w:val="000000"/>
        </w:rPr>
        <w:t xml:space="preserve"> al mes, Región de Murcia con 10,61 €/m</w:t>
      </w:r>
      <w:r>
        <w:rPr>
          <w:rFonts w:ascii="Open Sans" w:eastAsia="Open Sans" w:hAnsi="Open Sans" w:cs="Open Sans"/>
          <w:color w:val="000000"/>
          <w:vertAlign w:val="superscript"/>
        </w:rPr>
        <w:t>2</w:t>
      </w:r>
      <w:r>
        <w:rPr>
          <w:rFonts w:ascii="Open Sans" w:eastAsia="Open Sans" w:hAnsi="Open Sans" w:cs="Open Sans"/>
          <w:color w:val="000000"/>
        </w:rPr>
        <w:t xml:space="preserve"> al mes, Galicia con 10,55 €/m</w:t>
      </w:r>
      <w:r>
        <w:rPr>
          <w:rFonts w:ascii="Open Sans" w:eastAsia="Open Sans" w:hAnsi="Open Sans" w:cs="Open Sans"/>
          <w:color w:val="000000"/>
          <w:vertAlign w:val="superscript"/>
        </w:rPr>
        <w:t>2</w:t>
      </w:r>
      <w:r>
        <w:rPr>
          <w:rFonts w:ascii="Open Sans" w:eastAsia="Open Sans" w:hAnsi="Open Sans" w:cs="Open Sans"/>
          <w:color w:val="000000"/>
        </w:rPr>
        <w:t xml:space="preserve"> al mes, Castilla y León con 10,32 €/m</w:t>
      </w:r>
      <w:r>
        <w:rPr>
          <w:rFonts w:ascii="Open Sans" w:eastAsia="Open Sans" w:hAnsi="Open Sans" w:cs="Open Sans"/>
          <w:color w:val="000000"/>
          <w:vertAlign w:val="superscript"/>
        </w:rPr>
        <w:t>2</w:t>
      </w:r>
      <w:r>
        <w:rPr>
          <w:rFonts w:ascii="Open Sans" w:eastAsia="Open Sans" w:hAnsi="Open Sans" w:cs="Open Sans"/>
          <w:color w:val="000000"/>
        </w:rPr>
        <w:t xml:space="preserve"> al mes,  La Rioja con 10,09 €/m</w:t>
      </w:r>
      <w:r>
        <w:rPr>
          <w:rFonts w:ascii="Open Sans" w:eastAsia="Open Sans" w:hAnsi="Open Sans" w:cs="Open Sans"/>
          <w:color w:val="000000"/>
          <w:vertAlign w:val="superscript"/>
        </w:rPr>
        <w:t>2</w:t>
      </w:r>
      <w:r>
        <w:rPr>
          <w:rFonts w:ascii="Open Sans" w:eastAsia="Open Sans" w:hAnsi="Open Sans" w:cs="Open Sans"/>
          <w:color w:val="000000"/>
        </w:rPr>
        <w:t xml:space="preserve"> al mes, Castilla-La Mancha con 9,14 €/m</w:t>
      </w:r>
      <w:r>
        <w:rPr>
          <w:rFonts w:ascii="Open Sans" w:eastAsia="Open Sans" w:hAnsi="Open Sans" w:cs="Open Sans"/>
          <w:color w:val="000000"/>
          <w:vertAlign w:val="superscript"/>
        </w:rPr>
        <w:t>2</w:t>
      </w:r>
      <w:r>
        <w:rPr>
          <w:rFonts w:ascii="Open Sans" w:eastAsia="Open Sans" w:hAnsi="Open Sans" w:cs="Open Sans"/>
          <w:color w:val="000000"/>
        </w:rPr>
        <w:t xml:space="preserve"> al mes y Extremadura con 7,87 €/m</w:t>
      </w:r>
      <w:r>
        <w:rPr>
          <w:rFonts w:ascii="Open Sans" w:eastAsia="Open Sans" w:hAnsi="Open Sans" w:cs="Open Sans"/>
          <w:color w:val="000000"/>
          <w:vertAlign w:val="superscript"/>
        </w:rPr>
        <w:t>2</w:t>
      </w:r>
      <w:r>
        <w:rPr>
          <w:rFonts w:ascii="Open Sans" w:eastAsia="Open Sans" w:hAnsi="Open Sans" w:cs="Open Sans"/>
          <w:color w:val="000000"/>
        </w:rPr>
        <w:t xml:space="preserve"> al mes.</w:t>
      </w:r>
    </w:p>
    <w:p w14:paraId="4888B323" w14:textId="77777777" w:rsidR="000569D1" w:rsidRDefault="00000000">
      <w:pPr>
        <w:pBdr>
          <w:top w:val="nil"/>
          <w:left w:val="nil"/>
          <w:bottom w:val="nil"/>
          <w:right w:val="nil"/>
          <w:between w:val="nil"/>
        </w:pBdr>
        <w:shd w:val="clear" w:color="auto" w:fill="FFFFFF"/>
        <w:spacing w:before="280" w:after="280" w:line="276" w:lineRule="auto"/>
        <w:ind w:right="-567"/>
        <w:jc w:val="both"/>
        <w:rPr>
          <w:rFonts w:ascii="Open Sans Light" w:eastAsia="Open Sans Light" w:hAnsi="Open Sans Light" w:cs="Open Sans Light"/>
          <w:b/>
          <w:bCs/>
          <w:color w:val="303AB2"/>
          <w:sz w:val="28"/>
          <w:szCs w:val="28"/>
        </w:rPr>
      </w:pPr>
      <w:r>
        <w:rPr>
          <w:rFonts w:ascii="Open Sans Light" w:eastAsia="Open Sans Light" w:hAnsi="Open Sans Light" w:cs="Open Sans Light"/>
          <w:b/>
          <w:bCs/>
          <w:color w:val="303AB2"/>
          <w:sz w:val="28"/>
          <w:szCs w:val="28"/>
        </w:rPr>
        <w:t>CC.AA. con precio, variación mensual e interanual</w:t>
      </w:r>
    </w:p>
    <w:tbl>
      <w:tblPr>
        <w:tblStyle w:val="a"/>
        <w:tblW w:w="9071" w:type="dxa"/>
        <w:tblInd w:w="-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2410"/>
        <w:gridCol w:w="1701"/>
        <w:gridCol w:w="1559"/>
        <w:gridCol w:w="1701"/>
        <w:gridCol w:w="1700"/>
      </w:tblGrid>
      <w:tr w:rsidR="000569D1" w14:paraId="6A2DFA54" w14:textId="77777777" w:rsidTr="000569D1">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410" w:type="dxa"/>
            <w:vAlign w:val="center"/>
          </w:tcPr>
          <w:p w14:paraId="3F4D2DCA"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Comunidad Autónoma</w:t>
            </w:r>
          </w:p>
        </w:tc>
        <w:tc>
          <w:tcPr>
            <w:tcW w:w="1701" w:type="dxa"/>
            <w:vAlign w:val="center"/>
          </w:tcPr>
          <w:p w14:paraId="0EE283B0" w14:textId="77777777" w:rsidR="000569D1" w:rsidRDefault="00000000">
            <w:pPr>
              <w:jc w:val="cente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b w:val="0"/>
                <w:bCs w:val="0"/>
                <w:sz w:val="22"/>
                <w:szCs w:val="22"/>
              </w:rPr>
              <w:t>Jul. 2026</w:t>
            </w:r>
          </w:p>
          <w:p w14:paraId="22E2C098" w14:textId="77777777" w:rsidR="000569D1" w:rsidRDefault="00000000">
            <w:pPr>
              <w:jc w:val="cente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b w:val="0"/>
                <w:bCs w:val="0"/>
                <w:sz w:val="22"/>
                <w:szCs w:val="22"/>
              </w:rPr>
              <w:t>(€/m² al mes</w:t>
            </w:r>
          </w:p>
        </w:tc>
        <w:tc>
          <w:tcPr>
            <w:tcW w:w="1559" w:type="dxa"/>
            <w:vAlign w:val="center"/>
          </w:tcPr>
          <w:p w14:paraId="70034FE6" w14:textId="77777777" w:rsidR="000569D1" w:rsidRDefault="00000000">
            <w:pPr>
              <w:jc w:val="cente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b w:val="0"/>
                <w:bCs w:val="0"/>
                <w:sz w:val="22"/>
                <w:szCs w:val="22"/>
              </w:rPr>
              <w:t>Variación mensual (%)</w:t>
            </w:r>
          </w:p>
        </w:tc>
        <w:tc>
          <w:tcPr>
            <w:tcW w:w="1701" w:type="dxa"/>
            <w:vAlign w:val="center"/>
          </w:tcPr>
          <w:p w14:paraId="4A1D0BBD" w14:textId="77777777" w:rsidR="000569D1" w:rsidRDefault="00000000">
            <w:pPr>
              <w:jc w:val="cente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b w:val="0"/>
                <w:bCs w:val="0"/>
                <w:sz w:val="22"/>
                <w:szCs w:val="22"/>
              </w:rPr>
              <w:t>Variación interanual (%)</w:t>
            </w:r>
          </w:p>
        </w:tc>
        <w:tc>
          <w:tcPr>
            <w:tcW w:w="1700" w:type="dxa"/>
            <w:vAlign w:val="center"/>
          </w:tcPr>
          <w:p w14:paraId="57581BC3" w14:textId="77777777" w:rsidR="000569D1" w:rsidRDefault="00000000">
            <w:pPr>
              <w:jc w:val="cente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b w:val="0"/>
                <w:bCs w:val="0"/>
                <w:sz w:val="22"/>
                <w:szCs w:val="22"/>
              </w:rPr>
              <w:t>% respecto a media nacional</w:t>
            </w:r>
          </w:p>
        </w:tc>
      </w:tr>
      <w:tr w:rsidR="000569D1" w14:paraId="05F4E346" w14:textId="77777777" w:rsidTr="000569D1">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410" w:type="dxa"/>
            <w:vAlign w:val="bottom"/>
          </w:tcPr>
          <w:p w14:paraId="00E95757"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Aragón</w:t>
            </w:r>
          </w:p>
        </w:tc>
        <w:tc>
          <w:tcPr>
            <w:tcW w:w="1701" w:type="dxa"/>
            <w:vAlign w:val="bottom"/>
          </w:tcPr>
          <w:p w14:paraId="12C84A86"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12,12 €</w:t>
            </w:r>
          </w:p>
        </w:tc>
        <w:tc>
          <w:tcPr>
            <w:tcW w:w="1559" w:type="dxa"/>
            <w:vAlign w:val="bottom"/>
          </w:tcPr>
          <w:p w14:paraId="28DFA6B6"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color w:val="9C0006"/>
                <w:sz w:val="22"/>
                <w:szCs w:val="22"/>
              </w:rPr>
              <w:t>-0,2%</w:t>
            </w:r>
          </w:p>
        </w:tc>
        <w:tc>
          <w:tcPr>
            <w:tcW w:w="1701" w:type="dxa"/>
            <w:vAlign w:val="bottom"/>
          </w:tcPr>
          <w:p w14:paraId="270B63A8"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13,3%</w:t>
            </w:r>
          </w:p>
        </w:tc>
        <w:tc>
          <w:tcPr>
            <w:tcW w:w="1700" w:type="dxa"/>
            <w:vAlign w:val="bottom"/>
          </w:tcPr>
          <w:p w14:paraId="7AFAE374"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9C0006"/>
                <w:sz w:val="22"/>
                <w:szCs w:val="22"/>
              </w:rPr>
            </w:pPr>
            <w:r>
              <w:rPr>
                <w:rFonts w:ascii="Open Sans" w:eastAsia="Open Sans" w:hAnsi="Open Sans" w:cs="Open Sans"/>
                <w:color w:val="9C0006"/>
                <w:sz w:val="22"/>
                <w:szCs w:val="22"/>
              </w:rPr>
              <w:t>-14,3%</w:t>
            </w:r>
          </w:p>
        </w:tc>
      </w:tr>
      <w:tr w:rsidR="000569D1" w14:paraId="147C57C3" w14:textId="77777777" w:rsidTr="000569D1">
        <w:trPr>
          <w:trHeight w:val="283"/>
        </w:trPr>
        <w:tc>
          <w:tcPr>
            <w:cnfStyle w:val="001000000000" w:firstRow="0" w:lastRow="0" w:firstColumn="1" w:lastColumn="0" w:oddVBand="0" w:evenVBand="0" w:oddHBand="0" w:evenHBand="0" w:firstRowFirstColumn="0" w:firstRowLastColumn="0" w:lastRowFirstColumn="0" w:lastRowLastColumn="0"/>
            <w:tcW w:w="2410" w:type="dxa"/>
            <w:vAlign w:val="bottom"/>
          </w:tcPr>
          <w:p w14:paraId="1EBFB58B"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Castilla-La Mancha</w:t>
            </w:r>
          </w:p>
        </w:tc>
        <w:tc>
          <w:tcPr>
            <w:tcW w:w="1701" w:type="dxa"/>
            <w:vAlign w:val="bottom"/>
          </w:tcPr>
          <w:p w14:paraId="3BA4696B"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000000"/>
                <w:sz w:val="22"/>
                <w:szCs w:val="22"/>
              </w:rPr>
              <w:t>9,14 €</w:t>
            </w:r>
          </w:p>
        </w:tc>
        <w:tc>
          <w:tcPr>
            <w:tcW w:w="1559" w:type="dxa"/>
            <w:vAlign w:val="bottom"/>
          </w:tcPr>
          <w:p w14:paraId="2D6CF222"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sz w:val="22"/>
                <w:szCs w:val="22"/>
              </w:rPr>
            </w:pPr>
            <w:r>
              <w:rPr>
                <w:rFonts w:ascii="Open Sans" w:eastAsia="Open Sans" w:hAnsi="Open Sans" w:cs="Open Sans"/>
                <w:color w:val="9C0006"/>
                <w:sz w:val="22"/>
                <w:szCs w:val="22"/>
              </w:rPr>
              <w:t>-0,5%</w:t>
            </w:r>
          </w:p>
        </w:tc>
        <w:tc>
          <w:tcPr>
            <w:tcW w:w="1701" w:type="dxa"/>
            <w:vAlign w:val="bottom"/>
          </w:tcPr>
          <w:p w14:paraId="4791C809"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sz w:val="22"/>
                <w:szCs w:val="22"/>
              </w:rPr>
            </w:pPr>
            <w:r>
              <w:rPr>
                <w:rFonts w:ascii="Open Sans" w:eastAsia="Open Sans" w:hAnsi="Open Sans" w:cs="Open Sans"/>
                <w:b/>
                <w:bCs/>
                <w:color w:val="000000"/>
                <w:sz w:val="22"/>
                <w:szCs w:val="22"/>
              </w:rPr>
              <w:t>11,7%</w:t>
            </w:r>
          </w:p>
        </w:tc>
        <w:tc>
          <w:tcPr>
            <w:tcW w:w="1700" w:type="dxa"/>
            <w:vAlign w:val="bottom"/>
          </w:tcPr>
          <w:p w14:paraId="3EB3D843"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9C0006"/>
                <w:sz w:val="22"/>
                <w:szCs w:val="22"/>
              </w:rPr>
            </w:pPr>
            <w:r>
              <w:rPr>
                <w:rFonts w:ascii="Open Sans" w:eastAsia="Open Sans" w:hAnsi="Open Sans" w:cs="Open Sans"/>
                <w:color w:val="9C0006"/>
                <w:sz w:val="22"/>
                <w:szCs w:val="22"/>
              </w:rPr>
              <w:t>-35,4%</w:t>
            </w:r>
          </w:p>
        </w:tc>
      </w:tr>
      <w:tr w:rsidR="000569D1" w14:paraId="299D3CAE" w14:textId="77777777" w:rsidTr="000569D1">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410" w:type="dxa"/>
            <w:vAlign w:val="bottom"/>
          </w:tcPr>
          <w:p w14:paraId="013F8A04"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Navarra</w:t>
            </w:r>
          </w:p>
        </w:tc>
        <w:tc>
          <w:tcPr>
            <w:tcW w:w="1701" w:type="dxa"/>
            <w:vAlign w:val="bottom"/>
          </w:tcPr>
          <w:p w14:paraId="7D9E7B70"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000000"/>
                <w:sz w:val="22"/>
                <w:szCs w:val="22"/>
              </w:rPr>
              <w:t>13,02 €</w:t>
            </w:r>
          </w:p>
        </w:tc>
        <w:tc>
          <w:tcPr>
            <w:tcW w:w="1559" w:type="dxa"/>
            <w:vAlign w:val="bottom"/>
          </w:tcPr>
          <w:p w14:paraId="43F27C89"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color w:val="000000"/>
                <w:sz w:val="22"/>
                <w:szCs w:val="22"/>
              </w:rPr>
              <w:t>4,2%</w:t>
            </w:r>
          </w:p>
        </w:tc>
        <w:tc>
          <w:tcPr>
            <w:tcW w:w="1701" w:type="dxa"/>
            <w:vAlign w:val="bottom"/>
          </w:tcPr>
          <w:p w14:paraId="48A07B18"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8,6%</w:t>
            </w:r>
          </w:p>
        </w:tc>
        <w:tc>
          <w:tcPr>
            <w:tcW w:w="1700" w:type="dxa"/>
            <w:vAlign w:val="bottom"/>
          </w:tcPr>
          <w:p w14:paraId="4F9F3410"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9C0006"/>
                <w:sz w:val="22"/>
                <w:szCs w:val="22"/>
              </w:rPr>
            </w:pPr>
            <w:r>
              <w:rPr>
                <w:rFonts w:ascii="Open Sans" w:eastAsia="Open Sans" w:hAnsi="Open Sans" w:cs="Open Sans"/>
                <w:color w:val="9C0006"/>
                <w:sz w:val="22"/>
                <w:szCs w:val="22"/>
              </w:rPr>
              <w:t>-7,9%</w:t>
            </w:r>
          </w:p>
        </w:tc>
      </w:tr>
      <w:tr w:rsidR="000569D1" w14:paraId="17FBC704" w14:textId="77777777" w:rsidTr="000569D1">
        <w:trPr>
          <w:trHeight w:val="283"/>
        </w:trPr>
        <w:tc>
          <w:tcPr>
            <w:cnfStyle w:val="001000000000" w:firstRow="0" w:lastRow="0" w:firstColumn="1" w:lastColumn="0" w:oddVBand="0" w:evenVBand="0" w:oddHBand="0" w:evenHBand="0" w:firstRowFirstColumn="0" w:firstRowLastColumn="0" w:lastRowFirstColumn="0" w:lastRowLastColumn="0"/>
            <w:tcW w:w="2410" w:type="dxa"/>
            <w:vAlign w:val="bottom"/>
          </w:tcPr>
          <w:p w14:paraId="102DA426"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Extremadura</w:t>
            </w:r>
          </w:p>
        </w:tc>
        <w:tc>
          <w:tcPr>
            <w:tcW w:w="1701" w:type="dxa"/>
            <w:vAlign w:val="bottom"/>
          </w:tcPr>
          <w:p w14:paraId="41FEFD7A"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000000"/>
                <w:sz w:val="22"/>
                <w:szCs w:val="22"/>
              </w:rPr>
              <w:t>7,87 €</w:t>
            </w:r>
          </w:p>
        </w:tc>
        <w:tc>
          <w:tcPr>
            <w:tcW w:w="1559" w:type="dxa"/>
            <w:vAlign w:val="bottom"/>
          </w:tcPr>
          <w:p w14:paraId="6E4F0995"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9C0006"/>
                <w:sz w:val="22"/>
                <w:szCs w:val="22"/>
              </w:rPr>
            </w:pPr>
            <w:r>
              <w:rPr>
                <w:rFonts w:ascii="Open Sans" w:eastAsia="Open Sans" w:hAnsi="Open Sans" w:cs="Open Sans"/>
                <w:color w:val="000000"/>
                <w:sz w:val="22"/>
                <w:szCs w:val="22"/>
              </w:rPr>
              <w:t>1,4%</w:t>
            </w:r>
          </w:p>
        </w:tc>
        <w:tc>
          <w:tcPr>
            <w:tcW w:w="1701" w:type="dxa"/>
            <w:vAlign w:val="bottom"/>
          </w:tcPr>
          <w:p w14:paraId="692F9848"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8,3%</w:t>
            </w:r>
          </w:p>
        </w:tc>
        <w:tc>
          <w:tcPr>
            <w:tcW w:w="1700" w:type="dxa"/>
            <w:vAlign w:val="bottom"/>
          </w:tcPr>
          <w:p w14:paraId="61F1E56F"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9C0006"/>
                <w:sz w:val="22"/>
                <w:szCs w:val="22"/>
              </w:rPr>
            </w:pPr>
            <w:r>
              <w:rPr>
                <w:rFonts w:ascii="Open Sans" w:eastAsia="Open Sans" w:hAnsi="Open Sans" w:cs="Open Sans"/>
                <w:color w:val="9C0006"/>
                <w:sz w:val="22"/>
                <w:szCs w:val="22"/>
              </w:rPr>
              <w:t>-44,3%</w:t>
            </w:r>
          </w:p>
        </w:tc>
      </w:tr>
      <w:tr w:rsidR="000569D1" w14:paraId="4DE206A2" w14:textId="77777777" w:rsidTr="000569D1">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410" w:type="dxa"/>
            <w:vAlign w:val="bottom"/>
          </w:tcPr>
          <w:p w14:paraId="310EA950"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Asturias</w:t>
            </w:r>
          </w:p>
        </w:tc>
        <w:tc>
          <w:tcPr>
            <w:tcW w:w="1701" w:type="dxa"/>
            <w:vAlign w:val="bottom"/>
          </w:tcPr>
          <w:p w14:paraId="1A823922"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000000"/>
                <w:sz w:val="22"/>
                <w:szCs w:val="22"/>
              </w:rPr>
              <w:t>12,33 €</w:t>
            </w:r>
          </w:p>
        </w:tc>
        <w:tc>
          <w:tcPr>
            <w:tcW w:w="1559" w:type="dxa"/>
            <w:vAlign w:val="bottom"/>
          </w:tcPr>
          <w:p w14:paraId="10D68361"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color w:val="000000"/>
                <w:sz w:val="22"/>
                <w:szCs w:val="22"/>
              </w:rPr>
              <w:t>1,4%</w:t>
            </w:r>
          </w:p>
        </w:tc>
        <w:tc>
          <w:tcPr>
            <w:tcW w:w="1701" w:type="dxa"/>
            <w:vAlign w:val="bottom"/>
          </w:tcPr>
          <w:p w14:paraId="107AD24B"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7,5%</w:t>
            </w:r>
          </w:p>
        </w:tc>
        <w:tc>
          <w:tcPr>
            <w:tcW w:w="1700" w:type="dxa"/>
            <w:vAlign w:val="bottom"/>
          </w:tcPr>
          <w:p w14:paraId="52E2479C"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-12,8%</w:t>
            </w:r>
          </w:p>
        </w:tc>
      </w:tr>
      <w:tr w:rsidR="000569D1" w14:paraId="50ECAE3F" w14:textId="77777777" w:rsidTr="000569D1">
        <w:trPr>
          <w:trHeight w:val="283"/>
        </w:trPr>
        <w:tc>
          <w:tcPr>
            <w:cnfStyle w:val="001000000000" w:firstRow="0" w:lastRow="0" w:firstColumn="1" w:lastColumn="0" w:oddVBand="0" w:evenVBand="0" w:oddHBand="0" w:evenHBand="0" w:firstRowFirstColumn="0" w:firstRowLastColumn="0" w:lastRowFirstColumn="0" w:lastRowLastColumn="0"/>
            <w:tcW w:w="2410" w:type="dxa"/>
            <w:vAlign w:val="bottom"/>
          </w:tcPr>
          <w:p w14:paraId="73256252"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Canarias</w:t>
            </w:r>
          </w:p>
        </w:tc>
        <w:tc>
          <w:tcPr>
            <w:tcW w:w="1701" w:type="dxa"/>
            <w:vAlign w:val="bottom"/>
          </w:tcPr>
          <w:p w14:paraId="7C39CC16"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000000"/>
                <w:sz w:val="22"/>
                <w:szCs w:val="22"/>
              </w:rPr>
              <w:t>16,09 €</w:t>
            </w:r>
          </w:p>
        </w:tc>
        <w:tc>
          <w:tcPr>
            <w:tcW w:w="1559" w:type="dxa"/>
            <w:vAlign w:val="bottom"/>
          </w:tcPr>
          <w:p w14:paraId="50576233"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color w:val="9C0006"/>
                <w:sz w:val="22"/>
                <w:szCs w:val="22"/>
              </w:rPr>
              <w:t>-0,8%</w:t>
            </w:r>
          </w:p>
        </w:tc>
        <w:tc>
          <w:tcPr>
            <w:tcW w:w="1701" w:type="dxa"/>
            <w:vAlign w:val="bottom"/>
          </w:tcPr>
          <w:p w14:paraId="435F2242"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7,2%</w:t>
            </w:r>
          </w:p>
        </w:tc>
        <w:tc>
          <w:tcPr>
            <w:tcW w:w="1700" w:type="dxa"/>
            <w:vAlign w:val="bottom"/>
          </w:tcPr>
          <w:p w14:paraId="33B20EC0"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13,8%</w:t>
            </w:r>
          </w:p>
        </w:tc>
      </w:tr>
      <w:tr w:rsidR="000569D1" w14:paraId="73FCE4DA" w14:textId="77777777" w:rsidTr="000569D1">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410" w:type="dxa"/>
            <w:vAlign w:val="bottom"/>
          </w:tcPr>
          <w:p w14:paraId="22E58034"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Comunitat Valenciana</w:t>
            </w:r>
          </w:p>
        </w:tc>
        <w:tc>
          <w:tcPr>
            <w:tcW w:w="1701" w:type="dxa"/>
            <w:vAlign w:val="bottom"/>
          </w:tcPr>
          <w:p w14:paraId="59741225"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000000"/>
                <w:sz w:val="22"/>
                <w:szCs w:val="22"/>
              </w:rPr>
              <w:t>14,80 €</w:t>
            </w:r>
          </w:p>
        </w:tc>
        <w:tc>
          <w:tcPr>
            <w:tcW w:w="1559" w:type="dxa"/>
            <w:vAlign w:val="bottom"/>
          </w:tcPr>
          <w:p w14:paraId="54E90BAD"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color w:val="9C0006"/>
                <w:sz w:val="22"/>
                <w:szCs w:val="22"/>
              </w:rPr>
              <w:t>-6,4%</w:t>
            </w:r>
          </w:p>
        </w:tc>
        <w:tc>
          <w:tcPr>
            <w:tcW w:w="1701" w:type="dxa"/>
            <w:vAlign w:val="bottom"/>
          </w:tcPr>
          <w:p w14:paraId="0B71DDD1"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6,2%</w:t>
            </w:r>
          </w:p>
        </w:tc>
        <w:tc>
          <w:tcPr>
            <w:tcW w:w="1700" w:type="dxa"/>
            <w:vAlign w:val="bottom"/>
          </w:tcPr>
          <w:p w14:paraId="2A5758F8"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4,7%</w:t>
            </w:r>
          </w:p>
        </w:tc>
      </w:tr>
      <w:tr w:rsidR="000569D1" w14:paraId="5BAF51C0" w14:textId="77777777" w:rsidTr="000569D1">
        <w:trPr>
          <w:trHeight w:val="283"/>
        </w:trPr>
        <w:tc>
          <w:tcPr>
            <w:cnfStyle w:val="001000000000" w:firstRow="0" w:lastRow="0" w:firstColumn="1" w:lastColumn="0" w:oddVBand="0" w:evenVBand="0" w:oddHBand="0" w:evenHBand="0" w:firstRowFirstColumn="0" w:firstRowLastColumn="0" w:lastRowFirstColumn="0" w:lastRowLastColumn="0"/>
            <w:tcW w:w="2410" w:type="dxa"/>
            <w:vAlign w:val="bottom"/>
          </w:tcPr>
          <w:p w14:paraId="47E47954"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Castilla y León</w:t>
            </w:r>
          </w:p>
        </w:tc>
        <w:tc>
          <w:tcPr>
            <w:tcW w:w="1701" w:type="dxa"/>
            <w:vAlign w:val="bottom"/>
          </w:tcPr>
          <w:p w14:paraId="230F685B"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000000"/>
                <w:sz w:val="22"/>
                <w:szCs w:val="22"/>
              </w:rPr>
              <w:t>10,32 €</w:t>
            </w:r>
          </w:p>
        </w:tc>
        <w:tc>
          <w:tcPr>
            <w:tcW w:w="1559" w:type="dxa"/>
            <w:vAlign w:val="bottom"/>
          </w:tcPr>
          <w:p w14:paraId="2123208F"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9C0006"/>
                <w:sz w:val="22"/>
                <w:szCs w:val="22"/>
              </w:rPr>
            </w:pPr>
            <w:r>
              <w:rPr>
                <w:rFonts w:ascii="Open Sans" w:eastAsia="Open Sans" w:hAnsi="Open Sans" w:cs="Open Sans"/>
                <w:color w:val="9C0006"/>
                <w:sz w:val="22"/>
                <w:szCs w:val="22"/>
              </w:rPr>
              <w:t>-0,5%</w:t>
            </w:r>
          </w:p>
        </w:tc>
        <w:tc>
          <w:tcPr>
            <w:tcW w:w="1701" w:type="dxa"/>
            <w:vAlign w:val="bottom"/>
          </w:tcPr>
          <w:p w14:paraId="5BA4DBF3"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5,7%</w:t>
            </w:r>
          </w:p>
        </w:tc>
        <w:tc>
          <w:tcPr>
            <w:tcW w:w="1700" w:type="dxa"/>
            <w:vAlign w:val="bottom"/>
          </w:tcPr>
          <w:p w14:paraId="5E96D67D"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-27,0%</w:t>
            </w:r>
          </w:p>
        </w:tc>
      </w:tr>
      <w:tr w:rsidR="000569D1" w14:paraId="3CF8CEC7" w14:textId="77777777" w:rsidTr="000569D1">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410" w:type="dxa"/>
            <w:vAlign w:val="bottom"/>
          </w:tcPr>
          <w:p w14:paraId="6FE01281"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Región de Murcia</w:t>
            </w:r>
          </w:p>
        </w:tc>
        <w:tc>
          <w:tcPr>
            <w:tcW w:w="1701" w:type="dxa"/>
            <w:vAlign w:val="bottom"/>
          </w:tcPr>
          <w:p w14:paraId="0232E451"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000000"/>
                <w:sz w:val="22"/>
                <w:szCs w:val="22"/>
              </w:rPr>
              <w:t>10,61 €</w:t>
            </w:r>
          </w:p>
        </w:tc>
        <w:tc>
          <w:tcPr>
            <w:tcW w:w="1559" w:type="dxa"/>
            <w:vAlign w:val="bottom"/>
          </w:tcPr>
          <w:p w14:paraId="756D97DE"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9C0006"/>
                <w:sz w:val="22"/>
                <w:szCs w:val="22"/>
              </w:rPr>
            </w:pPr>
            <w:r>
              <w:rPr>
                <w:rFonts w:ascii="Open Sans" w:eastAsia="Open Sans" w:hAnsi="Open Sans" w:cs="Open Sans"/>
                <w:color w:val="9C0006"/>
                <w:sz w:val="22"/>
                <w:szCs w:val="22"/>
              </w:rPr>
              <w:t>-1,0%</w:t>
            </w:r>
          </w:p>
        </w:tc>
        <w:tc>
          <w:tcPr>
            <w:tcW w:w="1701" w:type="dxa"/>
            <w:vAlign w:val="bottom"/>
          </w:tcPr>
          <w:p w14:paraId="08681272"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5,2%</w:t>
            </w:r>
          </w:p>
        </w:tc>
        <w:tc>
          <w:tcPr>
            <w:tcW w:w="1700" w:type="dxa"/>
            <w:vAlign w:val="bottom"/>
          </w:tcPr>
          <w:p w14:paraId="1B984E19"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-25,0%</w:t>
            </w:r>
          </w:p>
        </w:tc>
      </w:tr>
      <w:tr w:rsidR="000569D1" w14:paraId="511DDAC5" w14:textId="77777777" w:rsidTr="000569D1">
        <w:trPr>
          <w:trHeight w:val="283"/>
        </w:trPr>
        <w:tc>
          <w:tcPr>
            <w:cnfStyle w:val="001000000000" w:firstRow="0" w:lastRow="0" w:firstColumn="1" w:lastColumn="0" w:oddVBand="0" w:evenVBand="0" w:oddHBand="0" w:evenHBand="0" w:firstRowFirstColumn="0" w:firstRowLastColumn="0" w:lastRowFirstColumn="0" w:lastRowLastColumn="0"/>
            <w:tcW w:w="2410" w:type="dxa"/>
            <w:vAlign w:val="bottom"/>
          </w:tcPr>
          <w:p w14:paraId="30217CE3"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Andalucía</w:t>
            </w:r>
          </w:p>
        </w:tc>
        <w:tc>
          <w:tcPr>
            <w:tcW w:w="1701" w:type="dxa"/>
            <w:vAlign w:val="bottom"/>
          </w:tcPr>
          <w:p w14:paraId="0FC0ED14"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000000"/>
                <w:sz w:val="22"/>
                <w:szCs w:val="22"/>
              </w:rPr>
              <w:t>12,04 €</w:t>
            </w:r>
          </w:p>
        </w:tc>
        <w:tc>
          <w:tcPr>
            <w:tcW w:w="1559" w:type="dxa"/>
            <w:vAlign w:val="bottom"/>
          </w:tcPr>
          <w:p w14:paraId="7753DF38"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color w:val="9C0006"/>
                <w:sz w:val="22"/>
                <w:szCs w:val="22"/>
              </w:rPr>
              <w:t>-2,4%</w:t>
            </w:r>
          </w:p>
        </w:tc>
        <w:tc>
          <w:tcPr>
            <w:tcW w:w="1701" w:type="dxa"/>
            <w:vAlign w:val="bottom"/>
          </w:tcPr>
          <w:p w14:paraId="67A76812"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4,4%</w:t>
            </w:r>
          </w:p>
        </w:tc>
        <w:tc>
          <w:tcPr>
            <w:tcW w:w="1700" w:type="dxa"/>
            <w:vAlign w:val="bottom"/>
          </w:tcPr>
          <w:p w14:paraId="1C5056C7"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-14,9%</w:t>
            </w:r>
          </w:p>
        </w:tc>
      </w:tr>
      <w:tr w:rsidR="000569D1" w14:paraId="313DB42F" w14:textId="77777777" w:rsidTr="000569D1">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410" w:type="dxa"/>
            <w:vAlign w:val="bottom"/>
          </w:tcPr>
          <w:p w14:paraId="015EA68A"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Galicia</w:t>
            </w:r>
          </w:p>
        </w:tc>
        <w:tc>
          <w:tcPr>
            <w:tcW w:w="1701" w:type="dxa"/>
            <w:vAlign w:val="bottom"/>
          </w:tcPr>
          <w:p w14:paraId="2727AFFC"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000000"/>
                <w:sz w:val="22"/>
                <w:szCs w:val="22"/>
              </w:rPr>
              <w:t>10,55 €</w:t>
            </w:r>
          </w:p>
        </w:tc>
        <w:tc>
          <w:tcPr>
            <w:tcW w:w="1559" w:type="dxa"/>
            <w:vAlign w:val="bottom"/>
          </w:tcPr>
          <w:p w14:paraId="389724B3"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color w:val="9C0006"/>
                <w:sz w:val="22"/>
                <w:szCs w:val="22"/>
              </w:rPr>
              <w:t>-1,0%</w:t>
            </w:r>
          </w:p>
        </w:tc>
        <w:tc>
          <w:tcPr>
            <w:tcW w:w="1701" w:type="dxa"/>
            <w:vAlign w:val="bottom"/>
          </w:tcPr>
          <w:p w14:paraId="1967B751"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2,4%</w:t>
            </w:r>
          </w:p>
        </w:tc>
        <w:tc>
          <w:tcPr>
            <w:tcW w:w="1700" w:type="dxa"/>
            <w:vAlign w:val="bottom"/>
          </w:tcPr>
          <w:p w14:paraId="3AF056C6"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C00000"/>
                <w:sz w:val="22"/>
                <w:szCs w:val="22"/>
              </w:rPr>
            </w:pPr>
            <w:r>
              <w:rPr>
                <w:rFonts w:ascii="Open Sans" w:eastAsia="Open Sans" w:hAnsi="Open Sans" w:cs="Open Sans"/>
                <w:color w:val="9C0006"/>
                <w:sz w:val="22"/>
                <w:szCs w:val="22"/>
              </w:rPr>
              <w:t>-25,4%</w:t>
            </w:r>
          </w:p>
        </w:tc>
      </w:tr>
      <w:tr w:rsidR="000569D1" w14:paraId="5A6AF63A" w14:textId="77777777" w:rsidTr="000569D1">
        <w:trPr>
          <w:trHeight w:val="283"/>
        </w:trPr>
        <w:tc>
          <w:tcPr>
            <w:cnfStyle w:val="001000000000" w:firstRow="0" w:lastRow="0" w:firstColumn="1" w:lastColumn="0" w:oddVBand="0" w:evenVBand="0" w:oddHBand="0" w:evenHBand="0" w:firstRowFirstColumn="0" w:firstRowLastColumn="0" w:lastRowFirstColumn="0" w:lastRowLastColumn="0"/>
            <w:tcW w:w="2410" w:type="dxa"/>
            <w:vAlign w:val="bottom"/>
          </w:tcPr>
          <w:p w14:paraId="27364924"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La Rioja</w:t>
            </w:r>
          </w:p>
        </w:tc>
        <w:tc>
          <w:tcPr>
            <w:tcW w:w="1701" w:type="dxa"/>
            <w:vAlign w:val="bottom"/>
          </w:tcPr>
          <w:p w14:paraId="68A0AA4A"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000000"/>
                <w:sz w:val="22"/>
                <w:szCs w:val="22"/>
              </w:rPr>
              <w:t>10,09 €</w:t>
            </w:r>
          </w:p>
        </w:tc>
        <w:tc>
          <w:tcPr>
            <w:tcW w:w="1559" w:type="dxa"/>
            <w:vAlign w:val="bottom"/>
          </w:tcPr>
          <w:p w14:paraId="76B1CC45"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color w:val="9C0006"/>
                <w:sz w:val="22"/>
                <w:szCs w:val="22"/>
              </w:rPr>
              <w:t>-1,7%</w:t>
            </w:r>
          </w:p>
        </w:tc>
        <w:tc>
          <w:tcPr>
            <w:tcW w:w="1701" w:type="dxa"/>
            <w:vAlign w:val="bottom"/>
          </w:tcPr>
          <w:p w14:paraId="1DF668C8"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2,2%</w:t>
            </w:r>
          </w:p>
        </w:tc>
        <w:tc>
          <w:tcPr>
            <w:tcW w:w="1700" w:type="dxa"/>
            <w:vAlign w:val="bottom"/>
          </w:tcPr>
          <w:p w14:paraId="111E81EC"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C00000"/>
                <w:sz w:val="22"/>
                <w:szCs w:val="22"/>
              </w:rPr>
            </w:pPr>
            <w:r>
              <w:rPr>
                <w:rFonts w:ascii="Open Sans" w:eastAsia="Open Sans" w:hAnsi="Open Sans" w:cs="Open Sans"/>
                <w:color w:val="9C0006"/>
                <w:sz w:val="22"/>
                <w:szCs w:val="22"/>
              </w:rPr>
              <w:t>-28,6%</w:t>
            </w:r>
          </w:p>
        </w:tc>
      </w:tr>
      <w:tr w:rsidR="000569D1" w14:paraId="1D8A7C0C" w14:textId="77777777" w:rsidTr="000569D1">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410" w:type="dxa"/>
            <w:vAlign w:val="bottom"/>
          </w:tcPr>
          <w:p w14:paraId="5474F173"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Baleares</w:t>
            </w:r>
          </w:p>
        </w:tc>
        <w:tc>
          <w:tcPr>
            <w:tcW w:w="1701" w:type="dxa"/>
            <w:vAlign w:val="bottom"/>
          </w:tcPr>
          <w:p w14:paraId="255FB593"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000000"/>
                <w:sz w:val="22"/>
                <w:szCs w:val="22"/>
              </w:rPr>
              <w:t>19,07 €</w:t>
            </w:r>
          </w:p>
        </w:tc>
        <w:tc>
          <w:tcPr>
            <w:tcW w:w="1559" w:type="dxa"/>
            <w:vAlign w:val="bottom"/>
          </w:tcPr>
          <w:p w14:paraId="63C59859"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color w:val="9C0006"/>
                <w:sz w:val="22"/>
                <w:szCs w:val="22"/>
              </w:rPr>
              <w:t>-0,8%</w:t>
            </w:r>
          </w:p>
        </w:tc>
        <w:tc>
          <w:tcPr>
            <w:tcW w:w="1701" w:type="dxa"/>
            <w:vAlign w:val="bottom"/>
          </w:tcPr>
          <w:p w14:paraId="2E728745"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0,3%</w:t>
            </w:r>
          </w:p>
        </w:tc>
        <w:tc>
          <w:tcPr>
            <w:tcW w:w="1700" w:type="dxa"/>
            <w:vAlign w:val="bottom"/>
          </w:tcPr>
          <w:p w14:paraId="7ABC1BFC"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C00000"/>
                <w:sz w:val="22"/>
                <w:szCs w:val="22"/>
              </w:rPr>
            </w:pPr>
            <w:r>
              <w:rPr>
                <w:rFonts w:ascii="Open Sans" w:eastAsia="Open Sans" w:hAnsi="Open Sans" w:cs="Open Sans"/>
                <w:color w:val="000000"/>
                <w:sz w:val="22"/>
                <w:szCs w:val="22"/>
              </w:rPr>
              <w:t>34,9%</w:t>
            </w:r>
          </w:p>
        </w:tc>
      </w:tr>
      <w:tr w:rsidR="000569D1" w14:paraId="35C7EE32" w14:textId="77777777" w:rsidTr="000569D1">
        <w:trPr>
          <w:trHeight w:val="283"/>
        </w:trPr>
        <w:tc>
          <w:tcPr>
            <w:cnfStyle w:val="001000000000" w:firstRow="0" w:lastRow="0" w:firstColumn="1" w:lastColumn="0" w:oddVBand="0" w:evenVBand="0" w:oddHBand="0" w:evenHBand="0" w:firstRowFirstColumn="0" w:firstRowLastColumn="0" w:lastRowFirstColumn="0" w:lastRowLastColumn="0"/>
            <w:tcW w:w="2410" w:type="dxa"/>
            <w:vAlign w:val="bottom"/>
          </w:tcPr>
          <w:p w14:paraId="64C5A89B"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Cantabria</w:t>
            </w:r>
          </w:p>
        </w:tc>
        <w:tc>
          <w:tcPr>
            <w:tcW w:w="1701" w:type="dxa"/>
            <w:vAlign w:val="bottom"/>
          </w:tcPr>
          <w:p w14:paraId="0DE230C2"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000000"/>
                <w:sz w:val="22"/>
                <w:szCs w:val="22"/>
              </w:rPr>
              <w:t>14,03 €</w:t>
            </w:r>
          </w:p>
        </w:tc>
        <w:tc>
          <w:tcPr>
            <w:tcW w:w="1559" w:type="dxa"/>
            <w:vAlign w:val="bottom"/>
          </w:tcPr>
          <w:p w14:paraId="39752BEA"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color w:val="9C0006"/>
                <w:sz w:val="22"/>
                <w:szCs w:val="22"/>
              </w:rPr>
              <w:t>-0,2%</w:t>
            </w:r>
          </w:p>
        </w:tc>
        <w:tc>
          <w:tcPr>
            <w:tcW w:w="1701" w:type="dxa"/>
            <w:vAlign w:val="bottom"/>
          </w:tcPr>
          <w:p w14:paraId="5F2274A4"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0,2%</w:t>
            </w:r>
          </w:p>
        </w:tc>
        <w:tc>
          <w:tcPr>
            <w:tcW w:w="1700" w:type="dxa"/>
            <w:vAlign w:val="bottom"/>
          </w:tcPr>
          <w:p w14:paraId="47E1A01A"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C00000"/>
                <w:sz w:val="22"/>
                <w:szCs w:val="22"/>
              </w:rPr>
            </w:pPr>
            <w:r>
              <w:rPr>
                <w:rFonts w:ascii="Open Sans" w:eastAsia="Open Sans" w:hAnsi="Open Sans" w:cs="Open Sans"/>
                <w:color w:val="9C0006"/>
                <w:sz w:val="22"/>
                <w:szCs w:val="22"/>
              </w:rPr>
              <w:t>-0,8%</w:t>
            </w:r>
          </w:p>
        </w:tc>
      </w:tr>
      <w:tr w:rsidR="000569D1" w14:paraId="2BD18530" w14:textId="77777777" w:rsidTr="000569D1">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410" w:type="dxa"/>
            <w:vAlign w:val="bottom"/>
          </w:tcPr>
          <w:p w14:paraId="5209CB74"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País Vasco</w:t>
            </w:r>
          </w:p>
        </w:tc>
        <w:tc>
          <w:tcPr>
            <w:tcW w:w="1701" w:type="dxa"/>
            <w:vAlign w:val="bottom"/>
          </w:tcPr>
          <w:p w14:paraId="5CCF126E"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000000"/>
                <w:sz w:val="22"/>
                <w:szCs w:val="22"/>
              </w:rPr>
              <w:t>16,98 €</w:t>
            </w:r>
          </w:p>
        </w:tc>
        <w:tc>
          <w:tcPr>
            <w:tcW w:w="1559" w:type="dxa"/>
            <w:vAlign w:val="bottom"/>
          </w:tcPr>
          <w:p w14:paraId="0F02F861"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color w:val="9C0006"/>
                <w:sz w:val="22"/>
                <w:szCs w:val="22"/>
              </w:rPr>
              <w:t>-0,5%</w:t>
            </w:r>
          </w:p>
        </w:tc>
        <w:tc>
          <w:tcPr>
            <w:tcW w:w="1701" w:type="dxa"/>
            <w:vAlign w:val="bottom"/>
          </w:tcPr>
          <w:p w14:paraId="7FFF62B9"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9C0006"/>
                <w:sz w:val="22"/>
                <w:szCs w:val="22"/>
              </w:rPr>
              <w:t>-0,1%</w:t>
            </w:r>
          </w:p>
        </w:tc>
        <w:tc>
          <w:tcPr>
            <w:tcW w:w="1700" w:type="dxa"/>
            <w:vAlign w:val="bottom"/>
          </w:tcPr>
          <w:p w14:paraId="037B49F9"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C00000"/>
                <w:sz w:val="22"/>
                <w:szCs w:val="22"/>
              </w:rPr>
            </w:pPr>
            <w:r>
              <w:rPr>
                <w:rFonts w:ascii="Open Sans" w:eastAsia="Open Sans" w:hAnsi="Open Sans" w:cs="Open Sans"/>
                <w:color w:val="000000"/>
                <w:sz w:val="22"/>
                <w:szCs w:val="22"/>
              </w:rPr>
              <w:t>20,1%</w:t>
            </w:r>
          </w:p>
        </w:tc>
      </w:tr>
      <w:tr w:rsidR="000569D1" w14:paraId="40A90FDD" w14:textId="77777777" w:rsidTr="000569D1">
        <w:trPr>
          <w:trHeight w:val="283"/>
        </w:trPr>
        <w:tc>
          <w:tcPr>
            <w:cnfStyle w:val="001000000000" w:firstRow="0" w:lastRow="0" w:firstColumn="1" w:lastColumn="0" w:oddVBand="0" w:evenVBand="0" w:oddHBand="0" w:evenHBand="0" w:firstRowFirstColumn="0" w:firstRowLastColumn="0" w:lastRowFirstColumn="0" w:lastRowLastColumn="0"/>
            <w:tcW w:w="2410" w:type="dxa"/>
            <w:vAlign w:val="bottom"/>
          </w:tcPr>
          <w:p w14:paraId="1FEF50F7"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lastRenderedPageBreak/>
              <w:t>Madrid</w:t>
            </w:r>
          </w:p>
        </w:tc>
        <w:tc>
          <w:tcPr>
            <w:tcW w:w="1701" w:type="dxa"/>
            <w:vAlign w:val="bottom"/>
          </w:tcPr>
          <w:p w14:paraId="3B01D4FE"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000000"/>
                <w:sz w:val="22"/>
                <w:szCs w:val="22"/>
              </w:rPr>
              <w:t>19,27 €</w:t>
            </w:r>
          </w:p>
        </w:tc>
        <w:tc>
          <w:tcPr>
            <w:tcW w:w="1559" w:type="dxa"/>
            <w:vAlign w:val="bottom"/>
          </w:tcPr>
          <w:p w14:paraId="5054F621"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color w:val="9C0006"/>
                <w:sz w:val="22"/>
                <w:szCs w:val="22"/>
              </w:rPr>
              <w:t>-12,2%</w:t>
            </w:r>
          </w:p>
        </w:tc>
        <w:tc>
          <w:tcPr>
            <w:tcW w:w="1701" w:type="dxa"/>
            <w:vAlign w:val="bottom"/>
          </w:tcPr>
          <w:p w14:paraId="6673325E"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9C0006"/>
                <w:sz w:val="22"/>
                <w:szCs w:val="22"/>
              </w:rPr>
              <w:t>-10,6%</w:t>
            </w:r>
          </w:p>
        </w:tc>
        <w:tc>
          <w:tcPr>
            <w:tcW w:w="1700" w:type="dxa"/>
            <w:vAlign w:val="bottom"/>
          </w:tcPr>
          <w:p w14:paraId="6C602CF1"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C00000"/>
                <w:sz w:val="22"/>
                <w:szCs w:val="22"/>
              </w:rPr>
            </w:pPr>
            <w:r>
              <w:rPr>
                <w:rFonts w:ascii="Open Sans" w:eastAsia="Open Sans" w:hAnsi="Open Sans" w:cs="Open Sans"/>
                <w:color w:val="000000"/>
                <w:sz w:val="22"/>
                <w:szCs w:val="22"/>
              </w:rPr>
              <w:t>36,3%</w:t>
            </w:r>
          </w:p>
        </w:tc>
      </w:tr>
      <w:tr w:rsidR="000569D1" w14:paraId="603B8A9C" w14:textId="77777777" w:rsidTr="000569D1">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410" w:type="dxa"/>
            <w:vAlign w:val="bottom"/>
          </w:tcPr>
          <w:p w14:paraId="30D263EF"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Cataluña</w:t>
            </w:r>
          </w:p>
        </w:tc>
        <w:tc>
          <w:tcPr>
            <w:tcW w:w="1701" w:type="dxa"/>
            <w:vAlign w:val="bottom"/>
          </w:tcPr>
          <w:p w14:paraId="125088B7"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000000"/>
                <w:sz w:val="22"/>
                <w:szCs w:val="22"/>
              </w:rPr>
              <w:t>17,08 €</w:t>
            </w:r>
          </w:p>
        </w:tc>
        <w:tc>
          <w:tcPr>
            <w:tcW w:w="1559" w:type="dxa"/>
            <w:vAlign w:val="bottom"/>
          </w:tcPr>
          <w:p w14:paraId="3699937F"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color w:val="9C0006"/>
                <w:sz w:val="22"/>
                <w:szCs w:val="22"/>
              </w:rPr>
              <w:t>-5,3%</w:t>
            </w:r>
          </w:p>
        </w:tc>
        <w:tc>
          <w:tcPr>
            <w:tcW w:w="1701" w:type="dxa"/>
            <w:vAlign w:val="bottom"/>
          </w:tcPr>
          <w:p w14:paraId="3CBC3FC3"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9C0006"/>
                <w:sz w:val="22"/>
                <w:szCs w:val="22"/>
              </w:rPr>
              <w:t>-16,3%</w:t>
            </w:r>
          </w:p>
        </w:tc>
        <w:tc>
          <w:tcPr>
            <w:tcW w:w="1700" w:type="dxa"/>
            <w:vAlign w:val="bottom"/>
          </w:tcPr>
          <w:p w14:paraId="1CE6E067"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C00000"/>
                <w:sz w:val="22"/>
                <w:szCs w:val="22"/>
              </w:rPr>
            </w:pPr>
            <w:r>
              <w:rPr>
                <w:rFonts w:ascii="Open Sans" w:eastAsia="Open Sans" w:hAnsi="Open Sans" w:cs="Open Sans"/>
                <w:color w:val="000000"/>
                <w:sz w:val="22"/>
                <w:szCs w:val="22"/>
              </w:rPr>
              <w:t>20,8%</w:t>
            </w:r>
          </w:p>
        </w:tc>
      </w:tr>
      <w:tr w:rsidR="000569D1" w14:paraId="6E4F3084" w14:textId="77777777" w:rsidTr="000569D1">
        <w:trPr>
          <w:trHeight w:val="283"/>
        </w:trPr>
        <w:tc>
          <w:tcPr>
            <w:cnfStyle w:val="001000000000" w:firstRow="0" w:lastRow="0" w:firstColumn="1" w:lastColumn="0" w:oddVBand="0" w:evenVBand="0" w:oddHBand="0" w:evenHBand="0" w:firstRowFirstColumn="0" w:firstRowLastColumn="0" w:lastRowFirstColumn="0" w:lastRowLastColumn="0"/>
            <w:tcW w:w="2410" w:type="dxa"/>
            <w:vAlign w:val="bottom"/>
          </w:tcPr>
          <w:p w14:paraId="67416F8A"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España</w:t>
            </w:r>
          </w:p>
        </w:tc>
        <w:tc>
          <w:tcPr>
            <w:tcW w:w="1701" w:type="dxa"/>
            <w:vAlign w:val="bottom"/>
          </w:tcPr>
          <w:p w14:paraId="5460FE69"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9C0006"/>
                <w:sz w:val="22"/>
                <w:szCs w:val="22"/>
              </w:rPr>
            </w:pPr>
            <w:r>
              <w:rPr>
                <w:rFonts w:ascii="Open Sans" w:eastAsia="Open Sans" w:hAnsi="Open Sans" w:cs="Open Sans"/>
                <w:b/>
                <w:bCs/>
                <w:color w:val="000000"/>
                <w:sz w:val="22"/>
                <w:szCs w:val="22"/>
              </w:rPr>
              <w:t>14,14 €</w:t>
            </w:r>
          </w:p>
        </w:tc>
        <w:tc>
          <w:tcPr>
            <w:tcW w:w="1559" w:type="dxa"/>
            <w:vAlign w:val="bottom"/>
          </w:tcPr>
          <w:p w14:paraId="280CF6F6"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9C0006"/>
                <w:sz w:val="22"/>
                <w:szCs w:val="22"/>
              </w:rPr>
            </w:pPr>
            <w:r>
              <w:rPr>
                <w:rFonts w:ascii="Open Sans" w:eastAsia="Open Sans" w:hAnsi="Open Sans" w:cs="Open Sans"/>
                <w:b/>
                <w:bCs/>
                <w:color w:val="9C0006"/>
                <w:sz w:val="22"/>
                <w:szCs w:val="22"/>
              </w:rPr>
              <w:t>-4,4%</w:t>
            </w:r>
          </w:p>
        </w:tc>
        <w:tc>
          <w:tcPr>
            <w:tcW w:w="1701" w:type="dxa"/>
            <w:vAlign w:val="bottom"/>
          </w:tcPr>
          <w:p w14:paraId="146AF5AA"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sz w:val="22"/>
                <w:szCs w:val="22"/>
              </w:rPr>
            </w:pPr>
            <w:r>
              <w:rPr>
                <w:rFonts w:ascii="Open Sans" w:eastAsia="Open Sans" w:hAnsi="Open Sans" w:cs="Open Sans"/>
                <w:b/>
                <w:bCs/>
                <w:color w:val="9C0006"/>
                <w:sz w:val="22"/>
                <w:szCs w:val="22"/>
              </w:rPr>
              <w:t>-1,6%</w:t>
            </w:r>
          </w:p>
        </w:tc>
        <w:tc>
          <w:tcPr>
            <w:tcW w:w="1700" w:type="dxa"/>
            <w:vAlign w:val="bottom"/>
          </w:tcPr>
          <w:p w14:paraId="665F3A5F"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C00000"/>
                <w:sz w:val="22"/>
                <w:szCs w:val="22"/>
              </w:rPr>
            </w:pPr>
            <w:r>
              <w:rPr>
                <w:rFonts w:ascii="Open Sans" w:eastAsia="Open Sans" w:hAnsi="Open Sans" w:cs="Open Sans"/>
                <w:b/>
                <w:bCs/>
                <w:color w:val="000000"/>
                <w:sz w:val="22"/>
                <w:szCs w:val="22"/>
              </w:rPr>
              <w:t>0,0%</w:t>
            </w:r>
          </w:p>
        </w:tc>
      </w:tr>
    </w:tbl>
    <w:p w14:paraId="6F052845" w14:textId="77777777" w:rsidR="000569D1" w:rsidRDefault="00000000">
      <w:pPr>
        <w:pBdr>
          <w:top w:val="nil"/>
          <w:left w:val="nil"/>
          <w:bottom w:val="nil"/>
          <w:right w:val="nil"/>
          <w:between w:val="nil"/>
        </w:pBdr>
        <w:shd w:val="clear" w:color="auto" w:fill="FFFFFF"/>
        <w:spacing w:before="280" w:after="280" w:line="276" w:lineRule="auto"/>
        <w:ind w:right="-567"/>
        <w:jc w:val="both"/>
        <w:rPr>
          <w:rFonts w:ascii="Open Sans Light" w:eastAsia="Open Sans Light" w:hAnsi="Open Sans Light" w:cs="Open Sans Light"/>
          <w:b/>
          <w:bCs/>
          <w:color w:val="303AB2"/>
          <w:sz w:val="28"/>
          <w:szCs w:val="28"/>
        </w:rPr>
      </w:pPr>
      <w:r>
        <w:rPr>
          <w:rFonts w:ascii="Open Sans Light" w:eastAsia="Open Sans Light" w:hAnsi="Open Sans Light" w:cs="Open Sans Light"/>
          <w:b/>
          <w:bCs/>
          <w:color w:val="303AB2"/>
          <w:sz w:val="28"/>
          <w:szCs w:val="28"/>
        </w:rPr>
        <w:t>Provincias de España</w:t>
      </w:r>
    </w:p>
    <w:p w14:paraId="33E6C3B2" w14:textId="77777777" w:rsidR="000569D1" w:rsidRDefault="00000000">
      <w:pPr>
        <w:pBdr>
          <w:top w:val="nil"/>
          <w:left w:val="nil"/>
          <w:bottom w:val="nil"/>
          <w:right w:val="nil"/>
          <w:between w:val="nil"/>
        </w:pBdr>
        <w:shd w:val="clear" w:color="auto" w:fill="FFFFFF"/>
        <w:spacing w:before="280" w:after="280" w:line="276" w:lineRule="auto"/>
        <w:ind w:right="-567"/>
        <w:jc w:val="both"/>
        <w:rPr>
          <w:rFonts w:ascii="Open Sans" w:eastAsia="Open Sans" w:hAnsi="Open Sans" w:cs="Open Sans"/>
          <w:color w:val="000000"/>
        </w:rPr>
      </w:pPr>
      <w:r>
        <w:rPr>
          <w:rFonts w:ascii="Open Sans" w:eastAsia="Open Sans" w:hAnsi="Open Sans" w:cs="Open Sans"/>
          <w:color w:val="000000"/>
        </w:rPr>
        <w:t xml:space="preserve">En 46 de las 50 provincias con variación interanual se incrementa el precio de la vivienda en alquiler en julio de 2026. Los incrementos superiores al 10% se dan en 11 (22%) provincias, según el Índice Inmobiliario </w:t>
      </w:r>
      <w:hyperlink r:id="rId15">
        <w:r w:rsidR="000569D1">
          <w:rPr>
            <w:rFonts w:ascii="Open Sans" w:eastAsia="Open Sans" w:hAnsi="Open Sans" w:cs="Open Sans"/>
            <w:color w:val="0000FF"/>
            <w:u w:val="single"/>
          </w:rPr>
          <w:t>Fotocasa</w:t>
        </w:r>
      </w:hyperlink>
      <w:r>
        <w:rPr>
          <w:rFonts w:ascii="Open Sans" w:eastAsia="Open Sans" w:hAnsi="Open Sans" w:cs="Open Sans"/>
          <w:color w:val="000000"/>
        </w:rPr>
        <w:t xml:space="preserve">. </w:t>
      </w:r>
    </w:p>
    <w:p w14:paraId="36EE5B68" w14:textId="77777777" w:rsidR="000569D1" w:rsidRDefault="00000000">
      <w:pPr>
        <w:pBdr>
          <w:top w:val="nil"/>
          <w:left w:val="nil"/>
          <w:bottom w:val="nil"/>
          <w:right w:val="nil"/>
          <w:between w:val="nil"/>
        </w:pBdr>
        <w:shd w:val="clear" w:color="auto" w:fill="FFFFFF"/>
        <w:spacing w:before="280" w:after="280" w:line="276" w:lineRule="auto"/>
        <w:ind w:right="-567"/>
        <w:jc w:val="both"/>
        <w:rPr>
          <w:rFonts w:ascii="Open Sans" w:eastAsia="Open Sans" w:hAnsi="Open Sans" w:cs="Open Sans"/>
          <w:color w:val="000000"/>
        </w:rPr>
      </w:pPr>
      <w:r>
        <w:rPr>
          <w:rFonts w:ascii="Open Sans" w:eastAsia="Open Sans" w:hAnsi="Open Sans" w:cs="Open Sans"/>
          <w:color w:val="000000"/>
        </w:rPr>
        <w:t>El orden de las provincias con los incrementos interanuales superior al 10% son: Cuenca (24,9%), Guadalajara (23,7%), Ciudad Real (19,4%), Tarragona (17,6%), Palencia (16,8%), Zaragoza (16,5%), Burgos (16,2%), Huelva (15,6%), Badajoz (11,4%), Santa Cruz de Tenerife (10,4%) y Cádiz (10,2%). Por otro lado, se producen descensos en cuatro provincias: Barcelona (-18,2%), Madrid (-10,6%), Ávila (-5,1%) y Soria (-0,2%).</w:t>
      </w:r>
    </w:p>
    <w:p w14:paraId="71357327" w14:textId="77777777" w:rsidR="000569D1" w:rsidRDefault="00000000">
      <w:pPr>
        <w:pBdr>
          <w:top w:val="nil"/>
          <w:left w:val="nil"/>
          <w:bottom w:val="nil"/>
          <w:right w:val="nil"/>
          <w:between w:val="nil"/>
        </w:pBdr>
        <w:shd w:val="clear" w:color="auto" w:fill="FFFFFF"/>
        <w:spacing w:before="280" w:after="280" w:line="276" w:lineRule="auto"/>
        <w:ind w:right="-567"/>
        <w:jc w:val="both"/>
        <w:rPr>
          <w:rFonts w:ascii="Open Sans" w:eastAsia="Open Sans" w:hAnsi="Open Sans" w:cs="Open Sans"/>
          <w:color w:val="000000"/>
        </w:rPr>
      </w:pPr>
      <w:r>
        <w:rPr>
          <w:rFonts w:ascii="Open Sans" w:eastAsia="Open Sans" w:hAnsi="Open Sans" w:cs="Open Sans"/>
          <w:color w:val="000000"/>
        </w:rPr>
        <w:t>Las diez provincias con precios superiores a los 15,00 €/m</w:t>
      </w:r>
      <w:r>
        <w:rPr>
          <w:rFonts w:ascii="Open Sans" w:eastAsia="Open Sans" w:hAnsi="Open Sans" w:cs="Open Sans"/>
          <w:color w:val="000000"/>
          <w:vertAlign w:val="superscript"/>
        </w:rPr>
        <w:t xml:space="preserve">2 </w:t>
      </w:r>
      <w:r>
        <w:rPr>
          <w:rFonts w:ascii="Open Sans" w:eastAsia="Open Sans" w:hAnsi="Open Sans" w:cs="Open Sans"/>
          <w:color w:val="000000"/>
        </w:rPr>
        <w:t>al mes son: Madrid con 19,27 €/m</w:t>
      </w:r>
      <w:r>
        <w:rPr>
          <w:rFonts w:ascii="Open Sans" w:eastAsia="Open Sans" w:hAnsi="Open Sans" w:cs="Open Sans"/>
          <w:color w:val="000000"/>
          <w:vertAlign w:val="superscript"/>
        </w:rPr>
        <w:t xml:space="preserve">2 </w:t>
      </w:r>
      <w:r>
        <w:rPr>
          <w:rFonts w:ascii="Open Sans" w:eastAsia="Open Sans" w:hAnsi="Open Sans" w:cs="Open Sans"/>
          <w:color w:val="000000"/>
        </w:rPr>
        <w:t>al mes, Illes Balears</w:t>
      </w:r>
      <w:r>
        <w:rPr>
          <w:rFonts w:ascii="Open Sans" w:eastAsia="Open Sans" w:hAnsi="Open Sans" w:cs="Open Sans"/>
          <w:color w:val="000000"/>
        </w:rPr>
        <w:tab/>
        <w:t>con 19,07 €/m</w:t>
      </w:r>
      <w:r>
        <w:rPr>
          <w:rFonts w:ascii="Open Sans" w:eastAsia="Open Sans" w:hAnsi="Open Sans" w:cs="Open Sans"/>
          <w:color w:val="000000"/>
          <w:vertAlign w:val="superscript"/>
        </w:rPr>
        <w:t xml:space="preserve">2 </w:t>
      </w:r>
      <w:r>
        <w:rPr>
          <w:rFonts w:ascii="Open Sans" w:eastAsia="Open Sans" w:hAnsi="Open Sans" w:cs="Open Sans"/>
          <w:color w:val="000000"/>
        </w:rPr>
        <w:t>al mes, Gipuzkoa con 19,07 €/m</w:t>
      </w:r>
      <w:r>
        <w:rPr>
          <w:rFonts w:ascii="Open Sans" w:eastAsia="Open Sans" w:hAnsi="Open Sans" w:cs="Open Sans"/>
          <w:color w:val="000000"/>
          <w:vertAlign w:val="superscript"/>
        </w:rPr>
        <w:t xml:space="preserve">2 </w:t>
      </w:r>
      <w:r>
        <w:rPr>
          <w:rFonts w:ascii="Open Sans" w:eastAsia="Open Sans" w:hAnsi="Open Sans" w:cs="Open Sans"/>
          <w:color w:val="000000"/>
        </w:rPr>
        <w:t>al mes, Barcelona con 17,86 €/m</w:t>
      </w:r>
      <w:r>
        <w:rPr>
          <w:rFonts w:ascii="Open Sans" w:eastAsia="Open Sans" w:hAnsi="Open Sans" w:cs="Open Sans"/>
          <w:color w:val="000000"/>
          <w:vertAlign w:val="superscript"/>
        </w:rPr>
        <w:t xml:space="preserve">2 </w:t>
      </w:r>
      <w:r>
        <w:rPr>
          <w:rFonts w:ascii="Open Sans" w:eastAsia="Open Sans" w:hAnsi="Open Sans" w:cs="Open Sans"/>
          <w:color w:val="000000"/>
        </w:rPr>
        <w:t>al mes, Bizkaia con 16,49 €/m</w:t>
      </w:r>
      <w:r>
        <w:rPr>
          <w:rFonts w:ascii="Open Sans" w:eastAsia="Open Sans" w:hAnsi="Open Sans" w:cs="Open Sans"/>
          <w:color w:val="000000"/>
          <w:vertAlign w:val="superscript"/>
        </w:rPr>
        <w:t xml:space="preserve">2 </w:t>
      </w:r>
      <w:r>
        <w:rPr>
          <w:rFonts w:ascii="Open Sans" w:eastAsia="Open Sans" w:hAnsi="Open Sans" w:cs="Open Sans"/>
          <w:color w:val="000000"/>
        </w:rPr>
        <w:t>al mes, Málaga con 16,23 €/m</w:t>
      </w:r>
      <w:r>
        <w:rPr>
          <w:rFonts w:ascii="Open Sans" w:eastAsia="Open Sans" w:hAnsi="Open Sans" w:cs="Open Sans"/>
          <w:color w:val="000000"/>
          <w:vertAlign w:val="superscript"/>
        </w:rPr>
        <w:t xml:space="preserve">2 </w:t>
      </w:r>
      <w:r>
        <w:rPr>
          <w:rFonts w:ascii="Open Sans" w:eastAsia="Open Sans" w:hAnsi="Open Sans" w:cs="Open Sans"/>
          <w:color w:val="000000"/>
        </w:rPr>
        <w:t>al mes, Las Palmas con 16,19 €/m</w:t>
      </w:r>
      <w:r>
        <w:rPr>
          <w:rFonts w:ascii="Open Sans" w:eastAsia="Open Sans" w:hAnsi="Open Sans" w:cs="Open Sans"/>
          <w:color w:val="000000"/>
          <w:vertAlign w:val="superscript"/>
        </w:rPr>
        <w:t xml:space="preserve">2 </w:t>
      </w:r>
      <w:r>
        <w:rPr>
          <w:rFonts w:ascii="Open Sans" w:eastAsia="Open Sans" w:hAnsi="Open Sans" w:cs="Open Sans"/>
          <w:color w:val="000000"/>
        </w:rPr>
        <w:t>al mes,  Valencia con 16,07 €/m</w:t>
      </w:r>
      <w:r>
        <w:rPr>
          <w:rFonts w:ascii="Open Sans" w:eastAsia="Open Sans" w:hAnsi="Open Sans" w:cs="Open Sans"/>
          <w:color w:val="000000"/>
          <w:vertAlign w:val="superscript"/>
        </w:rPr>
        <w:t xml:space="preserve">2 </w:t>
      </w:r>
      <w:r>
        <w:rPr>
          <w:rFonts w:ascii="Open Sans" w:eastAsia="Open Sans" w:hAnsi="Open Sans" w:cs="Open Sans"/>
          <w:color w:val="000000"/>
        </w:rPr>
        <w:t>al mes, Santa Cruz de Tenerife con 15,99 €/m</w:t>
      </w:r>
      <w:r>
        <w:rPr>
          <w:rFonts w:ascii="Open Sans" w:eastAsia="Open Sans" w:hAnsi="Open Sans" w:cs="Open Sans"/>
          <w:color w:val="000000"/>
          <w:vertAlign w:val="superscript"/>
        </w:rPr>
        <w:t xml:space="preserve">2 </w:t>
      </w:r>
      <w:r>
        <w:rPr>
          <w:rFonts w:ascii="Open Sans" w:eastAsia="Open Sans" w:hAnsi="Open Sans" w:cs="Open Sans"/>
          <w:color w:val="000000"/>
        </w:rPr>
        <w:t>al mes y Girona con 15,23 €/m</w:t>
      </w:r>
      <w:r>
        <w:rPr>
          <w:rFonts w:ascii="Open Sans" w:eastAsia="Open Sans" w:hAnsi="Open Sans" w:cs="Open Sans"/>
          <w:color w:val="000000"/>
          <w:vertAlign w:val="superscript"/>
        </w:rPr>
        <w:t xml:space="preserve">2 </w:t>
      </w:r>
      <w:r>
        <w:rPr>
          <w:rFonts w:ascii="Open Sans" w:eastAsia="Open Sans" w:hAnsi="Open Sans" w:cs="Open Sans"/>
          <w:color w:val="000000"/>
        </w:rPr>
        <w:t>al mes, Por otro lado, las provincias más económicas para alquilar una vivienda por un precio por debajo de los 8 euros/m</w:t>
      </w:r>
      <w:r>
        <w:rPr>
          <w:rFonts w:ascii="Open Sans" w:eastAsia="Open Sans" w:hAnsi="Open Sans" w:cs="Open Sans"/>
          <w:color w:val="000000"/>
          <w:vertAlign w:val="superscript"/>
        </w:rPr>
        <w:t>2</w:t>
      </w:r>
      <w:r>
        <w:rPr>
          <w:rFonts w:ascii="Open Sans" w:eastAsia="Open Sans" w:hAnsi="Open Sans" w:cs="Open Sans"/>
          <w:color w:val="000000"/>
        </w:rPr>
        <w:t xml:space="preserve"> al mes son:</w:t>
      </w:r>
      <w:r>
        <w:rPr>
          <w:rFonts w:ascii="Times New Roman" w:eastAsia="Times New Roman" w:hAnsi="Times New Roman" w:cs="Times New Roman"/>
          <w:color w:val="000000"/>
        </w:rPr>
        <w:t xml:space="preserve"> </w:t>
      </w:r>
      <w:r>
        <w:rPr>
          <w:rFonts w:ascii="Open Sans" w:eastAsia="Open Sans" w:hAnsi="Open Sans" w:cs="Open Sans"/>
          <w:color w:val="000000"/>
        </w:rPr>
        <w:t>Jaén con 6,91 €/m</w:t>
      </w:r>
      <w:r>
        <w:rPr>
          <w:rFonts w:ascii="Open Sans" w:eastAsia="Open Sans" w:hAnsi="Open Sans" w:cs="Open Sans"/>
          <w:color w:val="000000"/>
          <w:vertAlign w:val="superscript"/>
        </w:rPr>
        <w:t xml:space="preserve">2 </w:t>
      </w:r>
      <w:r>
        <w:rPr>
          <w:rFonts w:ascii="Open Sans" w:eastAsia="Open Sans" w:hAnsi="Open Sans" w:cs="Open Sans"/>
          <w:color w:val="000000"/>
        </w:rPr>
        <w:t>al mes,  Cáceres con 7,85 €/m</w:t>
      </w:r>
      <w:r>
        <w:rPr>
          <w:rFonts w:ascii="Open Sans" w:eastAsia="Open Sans" w:hAnsi="Open Sans" w:cs="Open Sans"/>
          <w:color w:val="000000"/>
          <w:vertAlign w:val="superscript"/>
        </w:rPr>
        <w:t xml:space="preserve">2 </w:t>
      </w:r>
      <w:r>
        <w:rPr>
          <w:rFonts w:ascii="Open Sans" w:eastAsia="Open Sans" w:hAnsi="Open Sans" w:cs="Open Sans"/>
          <w:color w:val="000000"/>
        </w:rPr>
        <w:t>al mes, Badajoz con 7,90 €/m</w:t>
      </w:r>
      <w:r>
        <w:rPr>
          <w:rFonts w:ascii="Open Sans" w:eastAsia="Open Sans" w:hAnsi="Open Sans" w:cs="Open Sans"/>
          <w:color w:val="000000"/>
          <w:vertAlign w:val="superscript"/>
        </w:rPr>
        <w:t xml:space="preserve">2 </w:t>
      </w:r>
      <w:r>
        <w:rPr>
          <w:rFonts w:ascii="Open Sans" w:eastAsia="Open Sans" w:hAnsi="Open Sans" w:cs="Open Sans"/>
          <w:color w:val="000000"/>
        </w:rPr>
        <w:t>al mes y Teruel con 7,96 €/m</w:t>
      </w:r>
      <w:r>
        <w:rPr>
          <w:rFonts w:ascii="Open Sans" w:eastAsia="Open Sans" w:hAnsi="Open Sans" w:cs="Open Sans"/>
          <w:color w:val="000000"/>
          <w:vertAlign w:val="superscript"/>
        </w:rPr>
        <w:t xml:space="preserve">2 </w:t>
      </w:r>
      <w:r>
        <w:rPr>
          <w:rFonts w:ascii="Open Sans" w:eastAsia="Open Sans" w:hAnsi="Open Sans" w:cs="Open Sans"/>
          <w:color w:val="000000"/>
        </w:rPr>
        <w:t>al mes.</w:t>
      </w:r>
    </w:p>
    <w:p w14:paraId="2A8F9F39" w14:textId="77777777" w:rsidR="000569D1" w:rsidRDefault="00000000">
      <w:pPr>
        <w:pBdr>
          <w:top w:val="nil"/>
          <w:left w:val="nil"/>
          <w:bottom w:val="nil"/>
          <w:right w:val="nil"/>
          <w:between w:val="nil"/>
        </w:pBdr>
        <w:shd w:val="clear" w:color="auto" w:fill="FFFFFF"/>
        <w:spacing w:before="280" w:after="280" w:line="276" w:lineRule="auto"/>
        <w:ind w:right="-567"/>
        <w:jc w:val="both"/>
        <w:rPr>
          <w:rFonts w:ascii="Open Sans Light" w:eastAsia="Open Sans Light" w:hAnsi="Open Sans Light" w:cs="Open Sans Light"/>
          <w:b/>
          <w:bCs/>
          <w:color w:val="303AB2"/>
          <w:sz w:val="28"/>
          <w:szCs w:val="28"/>
        </w:rPr>
      </w:pPr>
      <w:r>
        <w:rPr>
          <w:rFonts w:ascii="Open Sans Light" w:eastAsia="Open Sans Light" w:hAnsi="Open Sans Light" w:cs="Open Sans Light"/>
          <w:b/>
          <w:bCs/>
          <w:color w:val="303AB2"/>
          <w:sz w:val="28"/>
          <w:szCs w:val="28"/>
        </w:rPr>
        <w:t>Provincias con precio, variación mensual e interanual</w:t>
      </w:r>
    </w:p>
    <w:tbl>
      <w:tblPr>
        <w:tblStyle w:val="a0"/>
        <w:tblW w:w="9071" w:type="dxa"/>
        <w:tblInd w:w="-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2127"/>
        <w:gridCol w:w="1984"/>
        <w:gridCol w:w="1559"/>
        <w:gridCol w:w="1701"/>
        <w:gridCol w:w="1700"/>
      </w:tblGrid>
      <w:tr w:rsidR="000569D1" w14:paraId="755BF781" w14:textId="77777777" w:rsidTr="000569D1">
        <w:trPr>
          <w:cnfStyle w:val="100000000000" w:firstRow="1" w:lastRow="0" w:firstColumn="0" w:lastColumn="0" w:oddVBand="0" w:evenVBand="0" w:oddHBand="0"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62DC1184"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Provincia</w:t>
            </w:r>
          </w:p>
        </w:tc>
        <w:tc>
          <w:tcPr>
            <w:tcW w:w="1984" w:type="dxa"/>
            <w:vAlign w:val="center"/>
          </w:tcPr>
          <w:p w14:paraId="2F98DD8E" w14:textId="77777777" w:rsidR="000569D1" w:rsidRDefault="00000000">
            <w:pPr>
              <w:jc w:val="cente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b w:val="0"/>
                <w:bCs w:val="0"/>
                <w:sz w:val="22"/>
                <w:szCs w:val="22"/>
              </w:rPr>
              <w:t>Jul. 2026</w:t>
            </w:r>
          </w:p>
          <w:p w14:paraId="167859F2" w14:textId="77777777" w:rsidR="000569D1" w:rsidRDefault="00000000">
            <w:pPr>
              <w:jc w:val="cente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b w:val="0"/>
                <w:bCs w:val="0"/>
                <w:sz w:val="22"/>
                <w:szCs w:val="22"/>
              </w:rPr>
              <w:t>(€/m² al mes</w:t>
            </w:r>
          </w:p>
        </w:tc>
        <w:tc>
          <w:tcPr>
            <w:tcW w:w="1559" w:type="dxa"/>
            <w:vAlign w:val="center"/>
          </w:tcPr>
          <w:p w14:paraId="221F45B9" w14:textId="77777777" w:rsidR="000569D1" w:rsidRDefault="00000000">
            <w:pPr>
              <w:jc w:val="cente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b w:val="0"/>
                <w:bCs w:val="0"/>
                <w:sz w:val="22"/>
                <w:szCs w:val="22"/>
              </w:rPr>
              <w:t>Variación mensual (%)</w:t>
            </w:r>
          </w:p>
        </w:tc>
        <w:tc>
          <w:tcPr>
            <w:tcW w:w="1701" w:type="dxa"/>
            <w:vAlign w:val="center"/>
          </w:tcPr>
          <w:p w14:paraId="24C29583" w14:textId="77777777" w:rsidR="000569D1" w:rsidRDefault="00000000">
            <w:pPr>
              <w:jc w:val="cente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b w:val="0"/>
                <w:bCs w:val="0"/>
                <w:sz w:val="22"/>
                <w:szCs w:val="22"/>
              </w:rPr>
              <w:t>Variación interanual (%)</w:t>
            </w:r>
          </w:p>
        </w:tc>
        <w:tc>
          <w:tcPr>
            <w:tcW w:w="1700" w:type="dxa"/>
          </w:tcPr>
          <w:p w14:paraId="57EE8B1F" w14:textId="77777777" w:rsidR="000569D1" w:rsidRDefault="00000000">
            <w:pPr>
              <w:jc w:val="cente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b w:val="0"/>
                <w:bCs w:val="0"/>
                <w:sz w:val="22"/>
                <w:szCs w:val="22"/>
              </w:rPr>
              <w:t>% respecto media nacional</w:t>
            </w:r>
          </w:p>
        </w:tc>
      </w:tr>
      <w:tr w:rsidR="000569D1" w14:paraId="59E599EE" w14:textId="77777777" w:rsidTr="000569D1">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127" w:type="dxa"/>
            <w:vAlign w:val="bottom"/>
          </w:tcPr>
          <w:p w14:paraId="6433087F"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Cuenca</w:t>
            </w:r>
          </w:p>
        </w:tc>
        <w:tc>
          <w:tcPr>
            <w:tcW w:w="1984" w:type="dxa"/>
            <w:vAlign w:val="bottom"/>
          </w:tcPr>
          <w:p w14:paraId="14D9DB10"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9C0006"/>
                <w:sz w:val="22"/>
                <w:szCs w:val="22"/>
              </w:rPr>
            </w:pPr>
            <w:r>
              <w:rPr>
                <w:rFonts w:ascii="Open Sans" w:eastAsia="Open Sans" w:hAnsi="Open Sans" w:cs="Open Sans"/>
                <w:color w:val="000000"/>
                <w:sz w:val="22"/>
                <w:szCs w:val="22"/>
              </w:rPr>
              <w:t>8,88 €</w:t>
            </w:r>
          </w:p>
        </w:tc>
        <w:tc>
          <w:tcPr>
            <w:tcW w:w="1559" w:type="dxa"/>
            <w:vAlign w:val="bottom"/>
          </w:tcPr>
          <w:p w14:paraId="04B5B003"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D0D0D"/>
                <w:sz w:val="22"/>
                <w:szCs w:val="22"/>
              </w:rPr>
            </w:pPr>
            <w:r>
              <w:rPr>
                <w:rFonts w:ascii="Open Sans" w:eastAsia="Open Sans" w:hAnsi="Open Sans" w:cs="Open Sans"/>
                <w:color w:val="000000"/>
                <w:sz w:val="22"/>
                <w:szCs w:val="22"/>
              </w:rPr>
              <w:t>3,1%</w:t>
            </w:r>
          </w:p>
        </w:tc>
        <w:tc>
          <w:tcPr>
            <w:tcW w:w="1701" w:type="dxa"/>
            <w:vAlign w:val="bottom"/>
          </w:tcPr>
          <w:p w14:paraId="492E033C"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D0D0D"/>
                <w:sz w:val="22"/>
                <w:szCs w:val="22"/>
              </w:rPr>
            </w:pPr>
            <w:r>
              <w:rPr>
                <w:rFonts w:ascii="Open Sans" w:eastAsia="Open Sans" w:hAnsi="Open Sans" w:cs="Open Sans"/>
                <w:b/>
                <w:bCs/>
                <w:color w:val="000000"/>
                <w:sz w:val="22"/>
                <w:szCs w:val="22"/>
              </w:rPr>
              <w:t>24,9%</w:t>
            </w:r>
          </w:p>
        </w:tc>
        <w:tc>
          <w:tcPr>
            <w:tcW w:w="1700" w:type="dxa"/>
            <w:vAlign w:val="bottom"/>
          </w:tcPr>
          <w:p w14:paraId="053EEBB8"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-37,2%</w:t>
            </w:r>
          </w:p>
        </w:tc>
      </w:tr>
      <w:tr w:rsidR="000569D1" w14:paraId="30DAB5ED" w14:textId="77777777" w:rsidTr="000569D1">
        <w:trPr>
          <w:trHeight w:val="280"/>
        </w:trPr>
        <w:tc>
          <w:tcPr>
            <w:cnfStyle w:val="001000000000" w:firstRow="0" w:lastRow="0" w:firstColumn="1" w:lastColumn="0" w:oddVBand="0" w:evenVBand="0" w:oddHBand="0" w:evenHBand="0" w:firstRowFirstColumn="0" w:firstRowLastColumn="0" w:lastRowFirstColumn="0" w:lastRowLastColumn="0"/>
            <w:tcW w:w="2127" w:type="dxa"/>
            <w:vAlign w:val="bottom"/>
          </w:tcPr>
          <w:p w14:paraId="584F201E"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Guadalajara</w:t>
            </w:r>
          </w:p>
        </w:tc>
        <w:tc>
          <w:tcPr>
            <w:tcW w:w="1984" w:type="dxa"/>
            <w:vAlign w:val="bottom"/>
          </w:tcPr>
          <w:p w14:paraId="6E9004E0"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9C0006"/>
                <w:sz w:val="22"/>
                <w:szCs w:val="22"/>
              </w:rPr>
            </w:pPr>
            <w:r>
              <w:rPr>
                <w:rFonts w:ascii="Open Sans" w:eastAsia="Open Sans" w:hAnsi="Open Sans" w:cs="Open Sans"/>
                <w:color w:val="000000"/>
                <w:sz w:val="22"/>
                <w:szCs w:val="22"/>
              </w:rPr>
              <w:t>12,39 €</w:t>
            </w:r>
          </w:p>
        </w:tc>
        <w:tc>
          <w:tcPr>
            <w:tcW w:w="1559" w:type="dxa"/>
            <w:vAlign w:val="bottom"/>
          </w:tcPr>
          <w:p w14:paraId="2617E762"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D0D0D"/>
                <w:sz w:val="22"/>
                <w:szCs w:val="22"/>
              </w:rPr>
            </w:pPr>
            <w:r>
              <w:rPr>
                <w:rFonts w:ascii="Open Sans" w:eastAsia="Open Sans" w:hAnsi="Open Sans" w:cs="Open Sans"/>
                <w:color w:val="000000"/>
                <w:sz w:val="22"/>
                <w:szCs w:val="22"/>
              </w:rPr>
              <w:t>0,2%</w:t>
            </w:r>
          </w:p>
        </w:tc>
        <w:tc>
          <w:tcPr>
            <w:tcW w:w="1701" w:type="dxa"/>
            <w:vAlign w:val="bottom"/>
          </w:tcPr>
          <w:p w14:paraId="7E14648D"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D0D0D"/>
                <w:sz w:val="22"/>
                <w:szCs w:val="22"/>
              </w:rPr>
            </w:pPr>
            <w:r>
              <w:rPr>
                <w:rFonts w:ascii="Open Sans" w:eastAsia="Open Sans" w:hAnsi="Open Sans" w:cs="Open Sans"/>
                <w:b/>
                <w:bCs/>
                <w:color w:val="000000"/>
                <w:sz w:val="22"/>
                <w:szCs w:val="22"/>
              </w:rPr>
              <w:t>23,7%</w:t>
            </w:r>
          </w:p>
        </w:tc>
        <w:tc>
          <w:tcPr>
            <w:tcW w:w="1700" w:type="dxa"/>
            <w:vAlign w:val="bottom"/>
          </w:tcPr>
          <w:p w14:paraId="6F628023"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-12,4%</w:t>
            </w:r>
          </w:p>
        </w:tc>
      </w:tr>
      <w:tr w:rsidR="000569D1" w14:paraId="3711CD91" w14:textId="77777777" w:rsidTr="000569D1">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127" w:type="dxa"/>
            <w:vAlign w:val="bottom"/>
          </w:tcPr>
          <w:p w14:paraId="51821EA3"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Ciudad Real</w:t>
            </w:r>
          </w:p>
        </w:tc>
        <w:tc>
          <w:tcPr>
            <w:tcW w:w="1984" w:type="dxa"/>
            <w:vAlign w:val="bottom"/>
          </w:tcPr>
          <w:p w14:paraId="07DE2F61"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8,23 €</w:t>
            </w:r>
          </w:p>
        </w:tc>
        <w:tc>
          <w:tcPr>
            <w:tcW w:w="1559" w:type="dxa"/>
            <w:vAlign w:val="bottom"/>
          </w:tcPr>
          <w:p w14:paraId="71CC5FBF"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-0,1%</w:t>
            </w:r>
          </w:p>
        </w:tc>
        <w:tc>
          <w:tcPr>
            <w:tcW w:w="1701" w:type="dxa"/>
            <w:vAlign w:val="bottom"/>
          </w:tcPr>
          <w:p w14:paraId="4882157A"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19,4%</w:t>
            </w:r>
          </w:p>
        </w:tc>
        <w:tc>
          <w:tcPr>
            <w:tcW w:w="1700" w:type="dxa"/>
            <w:vAlign w:val="bottom"/>
          </w:tcPr>
          <w:p w14:paraId="417EC329"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-41,8%</w:t>
            </w:r>
          </w:p>
        </w:tc>
      </w:tr>
      <w:tr w:rsidR="000569D1" w14:paraId="6B592087" w14:textId="77777777" w:rsidTr="000569D1">
        <w:trPr>
          <w:trHeight w:val="280"/>
        </w:trPr>
        <w:tc>
          <w:tcPr>
            <w:cnfStyle w:val="001000000000" w:firstRow="0" w:lastRow="0" w:firstColumn="1" w:lastColumn="0" w:oddVBand="0" w:evenVBand="0" w:oddHBand="0" w:evenHBand="0" w:firstRowFirstColumn="0" w:firstRowLastColumn="0" w:lastRowFirstColumn="0" w:lastRowLastColumn="0"/>
            <w:tcW w:w="2127" w:type="dxa"/>
            <w:vAlign w:val="bottom"/>
          </w:tcPr>
          <w:p w14:paraId="41080D11"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Tarragona</w:t>
            </w:r>
          </w:p>
        </w:tc>
        <w:tc>
          <w:tcPr>
            <w:tcW w:w="1984" w:type="dxa"/>
            <w:vAlign w:val="bottom"/>
          </w:tcPr>
          <w:p w14:paraId="6CEA1366"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12,56 €</w:t>
            </w:r>
          </w:p>
        </w:tc>
        <w:tc>
          <w:tcPr>
            <w:tcW w:w="1559" w:type="dxa"/>
            <w:vAlign w:val="bottom"/>
          </w:tcPr>
          <w:p w14:paraId="6AF7222B"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-2,4%</w:t>
            </w:r>
          </w:p>
        </w:tc>
        <w:tc>
          <w:tcPr>
            <w:tcW w:w="1701" w:type="dxa"/>
            <w:vAlign w:val="bottom"/>
          </w:tcPr>
          <w:p w14:paraId="25E6BE0A"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17,6%</w:t>
            </w:r>
          </w:p>
        </w:tc>
        <w:tc>
          <w:tcPr>
            <w:tcW w:w="1700" w:type="dxa"/>
            <w:vAlign w:val="bottom"/>
          </w:tcPr>
          <w:p w14:paraId="20154733"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-11,2%</w:t>
            </w:r>
          </w:p>
        </w:tc>
      </w:tr>
      <w:tr w:rsidR="000569D1" w14:paraId="3871559E" w14:textId="77777777" w:rsidTr="000569D1">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127" w:type="dxa"/>
            <w:vAlign w:val="bottom"/>
          </w:tcPr>
          <w:p w14:paraId="5541D34D"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Palencia</w:t>
            </w:r>
          </w:p>
        </w:tc>
        <w:tc>
          <w:tcPr>
            <w:tcW w:w="1984" w:type="dxa"/>
            <w:vAlign w:val="bottom"/>
          </w:tcPr>
          <w:p w14:paraId="59541F57"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9,87 €</w:t>
            </w:r>
          </w:p>
        </w:tc>
        <w:tc>
          <w:tcPr>
            <w:tcW w:w="1559" w:type="dxa"/>
            <w:vAlign w:val="bottom"/>
          </w:tcPr>
          <w:p w14:paraId="0B433BCD"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5,9%</w:t>
            </w:r>
          </w:p>
        </w:tc>
        <w:tc>
          <w:tcPr>
            <w:tcW w:w="1701" w:type="dxa"/>
            <w:vAlign w:val="bottom"/>
          </w:tcPr>
          <w:p w14:paraId="2D59F03B"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16,8%</w:t>
            </w:r>
          </w:p>
        </w:tc>
        <w:tc>
          <w:tcPr>
            <w:tcW w:w="1700" w:type="dxa"/>
            <w:vAlign w:val="bottom"/>
          </w:tcPr>
          <w:p w14:paraId="6E61C938"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-30,2%</w:t>
            </w:r>
          </w:p>
        </w:tc>
      </w:tr>
      <w:tr w:rsidR="000569D1" w14:paraId="1F3AB0BE" w14:textId="77777777" w:rsidTr="000569D1">
        <w:trPr>
          <w:trHeight w:val="280"/>
        </w:trPr>
        <w:tc>
          <w:tcPr>
            <w:cnfStyle w:val="001000000000" w:firstRow="0" w:lastRow="0" w:firstColumn="1" w:lastColumn="0" w:oddVBand="0" w:evenVBand="0" w:oddHBand="0" w:evenHBand="0" w:firstRowFirstColumn="0" w:firstRowLastColumn="0" w:lastRowFirstColumn="0" w:lastRowLastColumn="0"/>
            <w:tcW w:w="2127" w:type="dxa"/>
            <w:vAlign w:val="bottom"/>
          </w:tcPr>
          <w:p w14:paraId="6EEE5401"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Zaragoza</w:t>
            </w:r>
          </w:p>
        </w:tc>
        <w:tc>
          <w:tcPr>
            <w:tcW w:w="1984" w:type="dxa"/>
            <w:vAlign w:val="bottom"/>
          </w:tcPr>
          <w:p w14:paraId="4819A0C0"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13,22 €</w:t>
            </w:r>
          </w:p>
        </w:tc>
        <w:tc>
          <w:tcPr>
            <w:tcW w:w="1559" w:type="dxa"/>
            <w:vAlign w:val="bottom"/>
          </w:tcPr>
          <w:p w14:paraId="1A38BF4B"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2,6%</w:t>
            </w:r>
          </w:p>
        </w:tc>
        <w:tc>
          <w:tcPr>
            <w:tcW w:w="1701" w:type="dxa"/>
            <w:vAlign w:val="bottom"/>
          </w:tcPr>
          <w:p w14:paraId="0E0F560C"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16,5%</w:t>
            </w:r>
          </w:p>
        </w:tc>
        <w:tc>
          <w:tcPr>
            <w:tcW w:w="1700" w:type="dxa"/>
            <w:vAlign w:val="bottom"/>
          </w:tcPr>
          <w:p w14:paraId="7D64CDDE"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-6,5%</w:t>
            </w:r>
          </w:p>
        </w:tc>
      </w:tr>
      <w:tr w:rsidR="000569D1" w14:paraId="29E35782" w14:textId="77777777" w:rsidTr="000569D1">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127" w:type="dxa"/>
            <w:vAlign w:val="bottom"/>
          </w:tcPr>
          <w:p w14:paraId="299B1C80"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Burgos</w:t>
            </w:r>
          </w:p>
        </w:tc>
        <w:tc>
          <w:tcPr>
            <w:tcW w:w="1984" w:type="dxa"/>
            <w:vAlign w:val="bottom"/>
          </w:tcPr>
          <w:p w14:paraId="3EA12C2C"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11,14 €</w:t>
            </w:r>
          </w:p>
        </w:tc>
        <w:tc>
          <w:tcPr>
            <w:tcW w:w="1559" w:type="dxa"/>
            <w:vAlign w:val="bottom"/>
          </w:tcPr>
          <w:p w14:paraId="48286D60"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1,2%</w:t>
            </w:r>
          </w:p>
        </w:tc>
        <w:tc>
          <w:tcPr>
            <w:tcW w:w="1701" w:type="dxa"/>
            <w:vAlign w:val="bottom"/>
          </w:tcPr>
          <w:p w14:paraId="51F8CA19"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16,2%</w:t>
            </w:r>
          </w:p>
        </w:tc>
        <w:tc>
          <w:tcPr>
            <w:tcW w:w="1700" w:type="dxa"/>
            <w:vAlign w:val="bottom"/>
          </w:tcPr>
          <w:p w14:paraId="506E1332"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-21,2%</w:t>
            </w:r>
          </w:p>
        </w:tc>
      </w:tr>
      <w:tr w:rsidR="000569D1" w14:paraId="253B71DA" w14:textId="77777777" w:rsidTr="000569D1">
        <w:trPr>
          <w:trHeight w:val="280"/>
        </w:trPr>
        <w:tc>
          <w:tcPr>
            <w:cnfStyle w:val="001000000000" w:firstRow="0" w:lastRow="0" w:firstColumn="1" w:lastColumn="0" w:oddVBand="0" w:evenVBand="0" w:oddHBand="0" w:evenHBand="0" w:firstRowFirstColumn="0" w:firstRowLastColumn="0" w:lastRowFirstColumn="0" w:lastRowLastColumn="0"/>
            <w:tcW w:w="2127" w:type="dxa"/>
            <w:vAlign w:val="bottom"/>
          </w:tcPr>
          <w:p w14:paraId="11A0D0C0"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Huelva</w:t>
            </w:r>
          </w:p>
        </w:tc>
        <w:tc>
          <w:tcPr>
            <w:tcW w:w="1984" w:type="dxa"/>
            <w:vAlign w:val="bottom"/>
          </w:tcPr>
          <w:p w14:paraId="617503E7"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12,45 €</w:t>
            </w:r>
          </w:p>
        </w:tc>
        <w:tc>
          <w:tcPr>
            <w:tcW w:w="1559" w:type="dxa"/>
            <w:vAlign w:val="bottom"/>
          </w:tcPr>
          <w:p w14:paraId="6123B0EC"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-3,0%</w:t>
            </w:r>
          </w:p>
        </w:tc>
        <w:tc>
          <w:tcPr>
            <w:tcW w:w="1701" w:type="dxa"/>
            <w:vAlign w:val="bottom"/>
          </w:tcPr>
          <w:p w14:paraId="31473F2D"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15,6%</w:t>
            </w:r>
          </w:p>
        </w:tc>
        <w:tc>
          <w:tcPr>
            <w:tcW w:w="1700" w:type="dxa"/>
            <w:vAlign w:val="bottom"/>
          </w:tcPr>
          <w:p w14:paraId="154F7B57"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-12,0%</w:t>
            </w:r>
          </w:p>
        </w:tc>
      </w:tr>
      <w:tr w:rsidR="000569D1" w14:paraId="053112AD" w14:textId="77777777" w:rsidTr="000569D1">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127" w:type="dxa"/>
            <w:vAlign w:val="bottom"/>
          </w:tcPr>
          <w:p w14:paraId="748B8957"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Badajoz</w:t>
            </w:r>
          </w:p>
        </w:tc>
        <w:tc>
          <w:tcPr>
            <w:tcW w:w="1984" w:type="dxa"/>
            <w:vAlign w:val="bottom"/>
          </w:tcPr>
          <w:p w14:paraId="2820C3F2"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7,90 €</w:t>
            </w:r>
          </w:p>
        </w:tc>
        <w:tc>
          <w:tcPr>
            <w:tcW w:w="1559" w:type="dxa"/>
            <w:vAlign w:val="bottom"/>
          </w:tcPr>
          <w:p w14:paraId="0C09DFC7"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1,9%</w:t>
            </w:r>
          </w:p>
        </w:tc>
        <w:tc>
          <w:tcPr>
            <w:tcW w:w="1701" w:type="dxa"/>
            <w:vAlign w:val="bottom"/>
          </w:tcPr>
          <w:p w14:paraId="71DA85FE"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11,4%</w:t>
            </w:r>
          </w:p>
        </w:tc>
        <w:tc>
          <w:tcPr>
            <w:tcW w:w="1700" w:type="dxa"/>
            <w:vAlign w:val="bottom"/>
          </w:tcPr>
          <w:p w14:paraId="67536405"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-44,1%</w:t>
            </w:r>
          </w:p>
        </w:tc>
      </w:tr>
      <w:tr w:rsidR="000569D1" w14:paraId="25925DBD" w14:textId="77777777" w:rsidTr="000569D1">
        <w:trPr>
          <w:trHeight w:val="280"/>
        </w:trPr>
        <w:tc>
          <w:tcPr>
            <w:cnfStyle w:val="001000000000" w:firstRow="0" w:lastRow="0" w:firstColumn="1" w:lastColumn="0" w:oddVBand="0" w:evenVBand="0" w:oddHBand="0" w:evenHBand="0" w:firstRowFirstColumn="0" w:firstRowLastColumn="0" w:lastRowFirstColumn="0" w:lastRowLastColumn="0"/>
            <w:tcW w:w="2127" w:type="dxa"/>
            <w:vAlign w:val="bottom"/>
          </w:tcPr>
          <w:p w14:paraId="46A617D1"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lastRenderedPageBreak/>
              <w:t>Santa Cruz de Tenerife</w:t>
            </w:r>
          </w:p>
        </w:tc>
        <w:tc>
          <w:tcPr>
            <w:tcW w:w="1984" w:type="dxa"/>
            <w:vAlign w:val="bottom"/>
          </w:tcPr>
          <w:p w14:paraId="6CEC83C4"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15,99 €</w:t>
            </w:r>
          </w:p>
        </w:tc>
        <w:tc>
          <w:tcPr>
            <w:tcW w:w="1559" w:type="dxa"/>
            <w:vAlign w:val="bottom"/>
          </w:tcPr>
          <w:p w14:paraId="4887E40C"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-0,7%</w:t>
            </w:r>
          </w:p>
        </w:tc>
        <w:tc>
          <w:tcPr>
            <w:tcW w:w="1701" w:type="dxa"/>
            <w:vAlign w:val="bottom"/>
          </w:tcPr>
          <w:p w14:paraId="2044854A"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10,4%</w:t>
            </w:r>
          </w:p>
        </w:tc>
        <w:tc>
          <w:tcPr>
            <w:tcW w:w="1700" w:type="dxa"/>
            <w:vAlign w:val="bottom"/>
          </w:tcPr>
          <w:p w14:paraId="7FBA350E"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13,1%</w:t>
            </w:r>
          </w:p>
        </w:tc>
      </w:tr>
      <w:tr w:rsidR="000569D1" w14:paraId="0A7F3BC9" w14:textId="77777777" w:rsidTr="000569D1">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127" w:type="dxa"/>
            <w:vAlign w:val="bottom"/>
          </w:tcPr>
          <w:p w14:paraId="7B22D4AD"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Cádiz</w:t>
            </w:r>
          </w:p>
        </w:tc>
        <w:tc>
          <w:tcPr>
            <w:tcW w:w="1984" w:type="dxa"/>
            <w:vAlign w:val="bottom"/>
          </w:tcPr>
          <w:p w14:paraId="0245F9D2"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12,23 €</w:t>
            </w:r>
          </w:p>
        </w:tc>
        <w:tc>
          <w:tcPr>
            <w:tcW w:w="1559" w:type="dxa"/>
            <w:vAlign w:val="bottom"/>
          </w:tcPr>
          <w:p w14:paraId="518DA243"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-2,5%</w:t>
            </w:r>
          </w:p>
        </w:tc>
        <w:tc>
          <w:tcPr>
            <w:tcW w:w="1701" w:type="dxa"/>
            <w:vAlign w:val="bottom"/>
          </w:tcPr>
          <w:p w14:paraId="4196CE4B"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10,2%</w:t>
            </w:r>
          </w:p>
        </w:tc>
        <w:tc>
          <w:tcPr>
            <w:tcW w:w="1700" w:type="dxa"/>
            <w:vAlign w:val="bottom"/>
          </w:tcPr>
          <w:p w14:paraId="5174D794"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-13,5%</w:t>
            </w:r>
          </w:p>
        </w:tc>
      </w:tr>
      <w:tr w:rsidR="000569D1" w14:paraId="08216D27" w14:textId="77777777" w:rsidTr="000569D1">
        <w:trPr>
          <w:trHeight w:val="280"/>
        </w:trPr>
        <w:tc>
          <w:tcPr>
            <w:cnfStyle w:val="001000000000" w:firstRow="0" w:lastRow="0" w:firstColumn="1" w:lastColumn="0" w:oddVBand="0" w:evenVBand="0" w:oddHBand="0" w:evenHBand="0" w:firstRowFirstColumn="0" w:firstRowLastColumn="0" w:lastRowFirstColumn="0" w:lastRowLastColumn="0"/>
            <w:tcW w:w="2127" w:type="dxa"/>
            <w:vAlign w:val="bottom"/>
          </w:tcPr>
          <w:p w14:paraId="4E253A87"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Toledo</w:t>
            </w:r>
          </w:p>
        </w:tc>
        <w:tc>
          <w:tcPr>
            <w:tcW w:w="1984" w:type="dxa"/>
            <w:vAlign w:val="bottom"/>
          </w:tcPr>
          <w:p w14:paraId="054322D7"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10,14 €</w:t>
            </w:r>
          </w:p>
        </w:tc>
        <w:tc>
          <w:tcPr>
            <w:tcW w:w="1559" w:type="dxa"/>
            <w:vAlign w:val="bottom"/>
          </w:tcPr>
          <w:p w14:paraId="7B9C44C1"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-0,1%</w:t>
            </w:r>
          </w:p>
        </w:tc>
        <w:tc>
          <w:tcPr>
            <w:tcW w:w="1701" w:type="dxa"/>
            <w:vAlign w:val="bottom"/>
          </w:tcPr>
          <w:p w14:paraId="35069839"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9,3%</w:t>
            </w:r>
          </w:p>
        </w:tc>
        <w:tc>
          <w:tcPr>
            <w:tcW w:w="1700" w:type="dxa"/>
            <w:vAlign w:val="bottom"/>
          </w:tcPr>
          <w:p w14:paraId="590AA323"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-28,3%</w:t>
            </w:r>
          </w:p>
        </w:tc>
      </w:tr>
      <w:tr w:rsidR="000569D1" w14:paraId="6D81AA32" w14:textId="77777777" w:rsidTr="000569D1">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127" w:type="dxa"/>
            <w:vAlign w:val="bottom"/>
          </w:tcPr>
          <w:p w14:paraId="0565392E"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Navarra</w:t>
            </w:r>
          </w:p>
        </w:tc>
        <w:tc>
          <w:tcPr>
            <w:tcW w:w="1984" w:type="dxa"/>
            <w:vAlign w:val="bottom"/>
          </w:tcPr>
          <w:p w14:paraId="174F3C2E"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13,02 €</w:t>
            </w:r>
          </w:p>
        </w:tc>
        <w:tc>
          <w:tcPr>
            <w:tcW w:w="1559" w:type="dxa"/>
            <w:vAlign w:val="bottom"/>
          </w:tcPr>
          <w:p w14:paraId="55C47977"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4,2%</w:t>
            </w:r>
          </w:p>
        </w:tc>
        <w:tc>
          <w:tcPr>
            <w:tcW w:w="1701" w:type="dxa"/>
            <w:vAlign w:val="bottom"/>
          </w:tcPr>
          <w:p w14:paraId="6D74B261"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8,6%</w:t>
            </w:r>
          </w:p>
        </w:tc>
        <w:tc>
          <w:tcPr>
            <w:tcW w:w="1700" w:type="dxa"/>
            <w:vAlign w:val="bottom"/>
          </w:tcPr>
          <w:p w14:paraId="30EC1F83"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-7,9%</w:t>
            </w:r>
          </w:p>
        </w:tc>
      </w:tr>
      <w:tr w:rsidR="000569D1" w14:paraId="0F7E3729" w14:textId="77777777" w:rsidTr="000569D1">
        <w:trPr>
          <w:trHeight w:val="280"/>
        </w:trPr>
        <w:tc>
          <w:tcPr>
            <w:cnfStyle w:val="001000000000" w:firstRow="0" w:lastRow="0" w:firstColumn="1" w:lastColumn="0" w:oddVBand="0" w:evenVBand="0" w:oddHBand="0" w:evenHBand="0" w:firstRowFirstColumn="0" w:firstRowLastColumn="0" w:lastRowFirstColumn="0" w:lastRowLastColumn="0"/>
            <w:tcW w:w="2127" w:type="dxa"/>
            <w:vAlign w:val="bottom"/>
          </w:tcPr>
          <w:p w14:paraId="226B368E"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Castellón</w:t>
            </w:r>
          </w:p>
        </w:tc>
        <w:tc>
          <w:tcPr>
            <w:tcW w:w="1984" w:type="dxa"/>
            <w:vAlign w:val="bottom"/>
          </w:tcPr>
          <w:p w14:paraId="061898C4"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10,52 €</w:t>
            </w:r>
          </w:p>
        </w:tc>
        <w:tc>
          <w:tcPr>
            <w:tcW w:w="1559" w:type="dxa"/>
            <w:vAlign w:val="bottom"/>
          </w:tcPr>
          <w:p w14:paraId="78A94D00"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-1,3%</w:t>
            </w:r>
          </w:p>
        </w:tc>
        <w:tc>
          <w:tcPr>
            <w:tcW w:w="1701" w:type="dxa"/>
            <w:vAlign w:val="bottom"/>
          </w:tcPr>
          <w:p w14:paraId="11FBE2E0"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8,3%</w:t>
            </w:r>
          </w:p>
        </w:tc>
        <w:tc>
          <w:tcPr>
            <w:tcW w:w="1700" w:type="dxa"/>
            <w:vAlign w:val="bottom"/>
          </w:tcPr>
          <w:p w14:paraId="073B782E"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-25,6%</w:t>
            </w:r>
          </w:p>
        </w:tc>
      </w:tr>
      <w:tr w:rsidR="000569D1" w14:paraId="3C5F2BB4" w14:textId="77777777" w:rsidTr="000569D1">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127" w:type="dxa"/>
            <w:vAlign w:val="bottom"/>
          </w:tcPr>
          <w:p w14:paraId="7816C714"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León</w:t>
            </w:r>
          </w:p>
        </w:tc>
        <w:tc>
          <w:tcPr>
            <w:tcW w:w="1984" w:type="dxa"/>
            <w:vAlign w:val="bottom"/>
          </w:tcPr>
          <w:p w14:paraId="1CE04A65"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9,18 €</w:t>
            </w:r>
          </w:p>
        </w:tc>
        <w:tc>
          <w:tcPr>
            <w:tcW w:w="1559" w:type="dxa"/>
            <w:vAlign w:val="bottom"/>
          </w:tcPr>
          <w:p w14:paraId="6392CF8B"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0,0%</w:t>
            </w:r>
          </w:p>
        </w:tc>
        <w:tc>
          <w:tcPr>
            <w:tcW w:w="1701" w:type="dxa"/>
            <w:vAlign w:val="bottom"/>
          </w:tcPr>
          <w:p w14:paraId="1230F2F2"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8,1%</w:t>
            </w:r>
          </w:p>
        </w:tc>
        <w:tc>
          <w:tcPr>
            <w:tcW w:w="1700" w:type="dxa"/>
            <w:vAlign w:val="bottom"/>
          </w:tcPr>
          <w:p w14:paraId="7AE4F385"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-35,1%</w:t>
            </w:r>
          </w:p>
        </w:tc>
      </w:tr>
      <w:tr w:rsidR="000569D1" w14:paraId="3B15FE00" w14:textId="77777777" w:rsidTr="000569D1">
        <w:trPr>
          <w:trHeight w:val="280"/>
        </w:trPr>
        <w:tc>
          <w:tcPr>
            <w:cnfStyle w:val="001000000000" w:firstRow="0" w:lastRow="0" w:firstColumn="1" w:lastColumn="0" w:oddVBand="0" w:evenVBand="0" w:oddHBand="0" w:evenHBand="0" w:firstRowFirstColumn="0" w:firstRowLastColumn="0" w:lastRowFirstColumn="0" w:lastRowLastColumn="0"/>
            <w:tcW w:w="2127" w:type="dxa"/>
            <w:vAlign w:val="bottom"/>
          </w:tcPr>
          <w:p w14:paraId="2A1C71EE"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Albacete</w:t>
            </w:r>
          </w:p>
        </w:tc>
        <w:tc>
          <w:tcPr>
            <w:tcW w:w="1984" w:type="dxa"/>
            <w:vAlign w:val="bottom"/>
          </w:tcPr>
          <w:p w14:paraId="204B93A0"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8,85 €</w:t>
            </w:r>
          </w:p>
        </w:tc>
        <w:tc>
          <w:tcPr>
            <w:tcW w:w="1559" w:type="dxa"/>
            <w:vAlign w:val="bottom"/>
          </w:tcPr>
          <w:p w14:paraId="0E6B24A4"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1,6%</w:t>
            </w:r>
          </w:p>
        </w:tc>
        <w:tc>
          <w:tcPr>
            <w:tcW w:w="1701" w:type="dxa"/>
            <w:vAlign w:val="bottom"/>
          </w:tcPr>
          <w:p w14:paraId="3F694DF1"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8,1%</w:t>
            </w:r>
          </w:p>
        </w:tc>
        <w:tc>
          <w:tcPr>
            <w:tcW w:w="1700" w:type="dxa"/>
            <w:vAlign w:val="bottom"/>
          </w:tcPr>
          <w:p w14:paraId="45DFF064"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-37,4%</w:t>
            </w:r>
          </w:p>
        </w:tc>
      </w:tr>
      <w:tr w:rsidR="000569D1" w14:paraId="54C42B80" w14:textId="77777777" w:rsidTr="000569D1">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127" w:type="dxa"/>
            <w:vAlign w:val="bottom"/>
          </w:tcPr>
          <w:p w14:paraId="55BE1F63"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Asturias</w:t>
            </w:r>
          </w:p>
        </w:tc>
        <w:tc>
          <w:tcPr>
            <w:tcW w:w="1984" w:type="dxa"/>
            <w:vAlign w:val="bottom"/>
          </w:tcPr>
          <w:p w14:paraId="79C70D8D"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12,33 €</w:t>
            </w:r>
          </w:p>
        </w:tc>
        <w:tc>
          <w:tcPr>
            <w:tcW w:w="1559" w:type="dxa"/>
            <w:vAlign w:val="bottom"/>
          </w:tcPr>
          <w:p w14:paraId="645FCC56"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1,4%</w:t>
            </w:r>
          </w:p>
        </w:tc>
        <w:tc>
          <w:tcPr>
            <w:tcW w:w="1701" w:type="dxa"/>
            <w:vAlign w:val="bottom"/>
          </w:tcPr>
          <w:p w14:paraId="4A2EF1A8"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7,5%</w:t>
            </w:r>
          </w:p>
        </w:tc>
        <w:tc>
          <w:tcPr>
            <w:tcW w:w="1700" w:type="dxa"/>
            <w:vAlign w:val="bottom"/>
          </w:tcPr>
          <w:p w14:paraId="05F9A1E3"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-12,8%</w:t>
            </w:r>
          </w:p>
        </w:tc>
      </w:tr>
      <w:tr w:rsidR="000569D1" w14:paraId="56FE7051" w14:textId="77777777" w:rsidTr="000569D1">
        <w:trPr>
          <w:trHeight w:val="280"/>
        </w:trPr>
        <w:tc>
          <w:tcPr>
            <w:cnfStyle w:val="001000000000" w:firstRow="0" w:lastRow="0" w:firstColumn="1" w:lastColumn="0" w:oddVBand="0" w:evenVBand="0" w:oddHBand="0" w:evenHBand="0" w:firstRowFirstColumn="0" w:firstRowLastColumn="0" w:lastRowFirstColumn="0" w:lastRowLastColumn="0"/>
            <w:tcW w:w="2127" w:type="dxa"/>
            <w:vAlign w:val="bottom"/>
          </w:tcPr>
          <w:p w14:paraId="04C5A386"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Alicante</w:t>
            </w:r>
          </w:p>
        </w:tc>
        <w:tc>
          <w:tcPr>
            <w:tcW w:w="1984" w:type="dxa"/>
            <w:vAlign w:val="bottom"/>
          </w:tcPr>
          <w:p w14:paraId="2D1EECE0"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13,21 €</w:t>
            </w:r>
          </w:p>
        </w:tc>
        <w:tc>
          <w:tcPr>
            <w:tcW w:w="1559" w:type="dxa"/>
            <w:vAlign w:val="bottom"/>
          </w:tcPr>
          <w:p w14:paraId="167212C3"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-2,2%</w:t>
            </w:r>
          </w:p>
        </w:tc>
        <w:tc>
          <w:tcPr>
            <w:tcW w:w="1701" w:type="dxa"/>
            <w:vAlign w:val="bottom"/>
          </w:tcPr>
          <w:p w14:paraId="31467DF6"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6,8%</w:t>
            </w:r>
          </w:p>
        </w:tc>
        <w:tc>
          <w:tcPr>
            <w:tcW w:w="1700" w:type="dxa"/>
            <w:vAlign w:val="bottom"/>
          </w:tcPr>
          <w:p w14:paraId="785B05E7"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-6,6%</w:t>
            </w:r>
          </w:p>
        </w:tc>
      </w:tr>
      <w:tr w:rsidR="000569D1" w14:paraId="5460B7CC" w14:textId="77777777" w:rsidTr="000569D1">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127" w:type="dxa"/>
            <w:vAlign w:val="bottom"/>
          </w:tcPr>
          <w:p w14:paraId="7A27C7F0"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Girona</w:t>
            </w:r>
          </w:p>
        </w:tc>
        <w:tc>
          <w:tcPr>
            <w:tcW w:w="1984" w:type="dxa"/>
            <w:vAlign w:val="bottom"/>
          </w:tcPr>
          <w:p w14:paraId="632E2D55"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15,23 €</w:t>
            </w:r>
          </w:p>
        </w:tc>
        <w:tc>
          <w:tcPr>
            <w:tcW w:w="1559" w:type="dxa"/>
            <w:vAlign w:val="bottom"/>
          </w:tcPr>
          <w:p w14:paraId="7D8E0C7D"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0,8%</w:t>
            </w:r>
          </w:p>
        </w:tc>
        <w:tc>
          <w:tcPr>
            <w:tcW w:w="1701" w:type="dxa"/>
            <w:vAlign w:val="bottom"/>
          </w:tcPr>
          <w:p w14:paraId="4D8205DB"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6,6%</w:t>
            </w:r>
          </w:p>
        </w:tc>
        <w:tc>
          <w:tcPr>
            <w:tcW w:w="1700" w:type="dxa"/>
            <w:vAlign w:val="bottom"/>
          </w:tcPr>
          <w:p w14:paraId="10277283"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7,7%</w:t>
            </w:r>
          </w:p>
        </w:tc>
      </w:tr>
      <w:tr w:rsidR="000569D1" w14:paraId="317BB200" w14:textId="77777777" w:rsidTr="000569D1">
        <w:trPr>
          <w:trHeight w:val="280"/>
        </w:trPr>
        <w:tc>
          <w:tcPr>
            <w:cnfStyle w:val="001000000000" w:firstRow="0" w:lastRow="0" w:firstColumn="1" w:lastColumn="0" w:oddVBand="0" w:evenVBand="0" w:oddHBand="0" w:evenHBand="0" w:firstRowFirstColumn="0" w:firstRowLastColumn="0" w:lastRowFirstColumn="0" w:lastRowLastColumn="0"/>
            <w:tcW w:w="2127" w:type="dxa"/>
            <w:vAlign w:val="bottom"/>
          </w:tcPr>
          <w:p w14:paraId="1D77ED65"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Lugo</w:t>
            </w:r>
          </w:p>
        </w:tc>
        <w:tc>
          <w:tcPr>
            <w:tcW w:w="1984" w:type="dxa"/>
            <w:vAlign w:val="bottom"/>
          </w:tcPr>
          <w:p w14:paraId="1CDAFED4"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9,25 €</w:t>
            </w:r>
          </w:p>
        </w:tc>
        <w:tc>
          <w:tcPr>
            <w:tcW w:w="1559" w:type="dxa"/>
            <w:vAlign w:val="bottom"/>
          </w:tcPr>
          <w:p w14:paraId="186EDB44"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-1,4%</w:t>
            </w:r>
          </w:p>
        </w:tc>
        <w:tc>
          <w:tcPr>
            <w:tcW w:w="1701" w:type="dxa"/>
            <w:vAlign w:val="bottom"/>
          </w:tcPr>
          <w:p w14:paraId="6FDE87C8"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6,4%</w:t>
            </w:r>
          </w:p>
        </w:tc>
        <w:tc>
          <w:tcPr>
            <w:tcW w:w="1700" w:type="dxa"/>
            <w:vAlign w:val="bottom"/>
          </w:tcPr>
          <w:p w14:paraId="470BF9D1"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-34,6%</w:t>
            </w:r>
          </w:p>
        </w:tc>
      </w:tr>
      <w:tr w:rsidR="000569D1" w14:paraId="4149EF1D" w14:textId="77777777" w:rsidTr="000569D1">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127" w:type="dxa"/>
            <w:vAlign w:val="bottom"/>
          </w:tcPr>
          <w:p w14:paraId="71687321"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Huesca</w:t>
            </w:r>
          </w:p>
        </w:tc>
        <w:tc>
          <w:tcPr>
            <w:tcW w:w="1984" w:type="dxa"/>
            <w:vAlign w:val="bottom"/>
          </w:tcPr>
          <w:p w14:paraId="4F159D9E"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10,66 €</w:t>
            </w:r>
          </w:p>
        </w:tc>
        <w:tc>
          <w:tcPr>
            <w:tcW w:w="1559" w:type="dxa"/>
            <w:vAlign w:val="bottom"/>
          </w:tcPr>
          <w:p w14:paraId="0B4C8E25"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-9,9%</w:t>
            </w:r>
          </w:p>
        </w:tc>
        <w:tc>
          <w:tcPr>
            <w:tcW w:w="1701" w:type="dxa"/>
            <w:vAlign w:val="bottom"/>
          </w:tcPr>
          <w:p w14:paraId="12F5C975"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6,3%</w:t>
            </w:r>
          </w:p>
        </w:tc>
        <w:tc>
          <w:tcPr>
            <w:tcW w:w="1700" w:type="dxa"/>
            <w:vAlign w:val="bottom"/>
          </w:tcPr>
          <w:p w14:paraId="7A3E40D4"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-24,6%</w:t>
            </w:r>
          </w:p>
        </w:tc>
      </w:tr>
      <w:tr w:rsidR="000569D1" w14:paraId="31799D27" w14:textId="77777777" w:rsidTr="000569D1">
        <w:trPr>
          <w:trHeight w:val="280"/>
        </w:trPr>
        <w:tc>
          <w:tcPr>
            <w:cnfStyle w:val="001000000000" w:firstRow="0" w:lastRow="0" w:firstColumn="1" w:lastColumn="0" w:oddVBand="0" w:evenVBand="0" w:oddHBand="0" w:evenHBand="0" w:firstRowFirstColumn="0" w:firstRowLastColumn="0" w:lastRowFirstColumn="0" w:lastRowLastColumn="0"/>
            <w:tcW w:w="2127" w:type="dxa"/>
            <w:vAlign w:val="bottom"/>
          </w:tcPr>
          <w:p w14:paraId="4C670D2B"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Segovia</w:t>
            </w:r>
          </w:p>
        </w:tc>
        <w:tc>
          <w:tcPr>
            <w:tcW w:w="1984" w:type="dxa"/>
            <w:vAlign w:val="bottom"/>
          </w:tcPr>
          <w:p w14:paraId="2870F819"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12,61 €</w:t>
            </w:r>
          </w:p>
        </w:tc>
        <w:tc>
          <w:tcPr>
            <w:tcW w:w="1559" w:type="dxa"/>
            <w:vAlign w:val="bottom"/>
          </w:tcPr>
          <w:p w14:paraId="10EAA9E2"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-4,1%</w:t>
            </w:r>
          </w:p>
        </w:tc>
        <w:tc>
          <w:tcPr>
            <w:tcW w:w="1701" w:type="dxa"/>
            <w:vAlign w:val="bottom"/>
          </w:tcPr>
          <w:p w14:paraId="1583EB91"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6,1%</w:t>
            </w:r>
          </w:p>
        </w:tc>
        <w:tc>
          <w:tcPr>
            <w:tcW w:w="1700" w:type="dxa"/>
            <w:vAlign w:val="bottom"/>
          </w:tcPr>
          <w:p w14:paraId="00F0D074"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-10,8%</w:t>
            </w:r>
          </w:p>
        </w:tc>
      </w:tr>
      <w:tr w:rsidR="000569D1" w14:paraId="150C8534" w14:textId="77777777" w:rsidTr="000569D1">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127" w:type="dxa"/>
            <w:vAlign w:val="bottom"/>
          </w:tcPr>
          <w:p w14:paraId="218E9EB0"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Cáceres</w:t>
            </w:r>
          </w:p>
        </w:tc>
        <w:tc>
          <w:tcPr>
            <w:tcW w:w="1984" w:type="dxa"/>
            <w:vAlign w:val="bottom"/>
          </w:tcPr>
          <w:p w14:paraId="776A89C8"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7,85 €</w:t>
            </w:r>
          </w:p>
        </w:tc>
        <w:tc>
          <w:tcPr>
            <w:tcW w:w="1559" w:type="dxa"/>
            <w:vAlign w:val="bottom"/>
          </w:tcPr>
          <w:p w14:paraId="4D34BCEC"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1,2%</w:t>
            </w:r>
          </w:p>
        </w:tc>
        <w:tc>
          <w:tcPr>
            <w:tcW w:w="1701" w:type="dxa"/>
            <w:vAlign w:val="bottom"/>
          </w:tcPr>
          <w:p w14:paraId="7B408452"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5,5%</w:t>
            </w:r>
          </w:p>
        </w:tc>
        <w:tc>
          <w:tcPr>
            <w:tcW w:w="1700" w:type="dxa"/>
            <w:vAlign w:val="bottom"/>
          </w:tcPr>
          <w:p w14:paraId="75212EC7"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-44,5%</w:t>
            </w:r>
          </w:p>
        </w:tc>
      </w:tr>
      <w:tr w:rsidR="000569D1" w14:paraId="160A32A7" w14:textId="77777777" w:rsidTr="000569D1">
        <w:trPr>
          <w:trHeight w:val="280"/>
        </w:trPr>
        <w:tc>
          <w:tcPr>
            <w:cnfStyle w:val="001000000000" w:firstRow="0" w:lastRow="0" w:firstColumn="1" w:lastColumn="0" w:oddVBand="0" w:evenVBand="0" w:oddHBand="0" w:evenHBand="0" w:firstRowFirstColumn="0" w:firstRowLastColumn="0" w:lastRowFirstColumn="0" w:lastRowLastColumn="0"/>
            <w:tcW w:w="2127" w:type="dxa"/>
            <w:vAlign w:val="bottom"/>
          </w:tcPr>
          <w:p w14:paraId="1C5EC794"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Valladolid</w:t>
            </w:r>
          </w:p>
        </w:tc>
        <w:tc>
          <w:tcPr>
            <w:tcW w:w="1984" w:type="dxa"/>
            <w:vAlign w:val="bottom"/>
          </w:tcPr>
          <w:p w14:paraId="7B1B2844"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9,97 €</w:t>
            </w:r>
          </w:p>
        </w:tc>
        <w:tc>
          <w:tcPr>
            <w:tcW w:w="1559" w:type="dxa"/>
            <w:vAlign w:val="bottom"/>
          </w:tcPr>
          <w:p w14:paraId="5BE4BF0C"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-1,4%</w:t>
            </w:r>
          </w:p>
        </w:tc>
        <w:tc>
          <w:tcPr>
            <w:tcW w:w="1701" w:type="dxa"/>
            <w:vAlign w:val="bottom"/>
          </w:tcPr>
          <w:p w14:paraId="7182236C"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5,5%</w:t>
            </w:r>
          </w:p>
        </w:tc>
        <w:tc>
          <w:tcPr>
            <w:tcW w:w="1700" w:type="dxa"/>
            <w:vAlign w:val="bottom"/>
          </w:tcPr>
          <w:p w14:paraId="2895CDF0"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-29,5%</w:t>
            </w:r>
          </w:p>
        </w:tc>
      </w:tr>
      <w:tr w:rsidR="000569D1" w14:paraId="3752C2BD" w14:textId="77777777" w:rsidTr="000569D1">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127" w:type="dxa"/>
            <w:vAlign w:val="bottom"/>
          </w:tcPr>
          <w:p w14:paraId="2045E891"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Salamanca</w:t>
            </w:r>
          </w:p>
        </w:tc>
        <w:tc>
          <w:tcPr>
            <w:tcW w:w="1984" w:type="dxa"/>
            <w:vAlign w:val="bottom"/>
          </w:tcPr>
          <w:p w14:paraId="34F7C97C"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10,61 €</w:t>
            </w:r>
          </w:p>
        </w:tc>
        <w:tc>
          <w:tcPr>
            <w:tcW w:w="1559" w:type="dxa"/>
            <w:vAlign w:val="bottom"/>
          </w:tcPr>
          <w:p w14:paraId="20F9667A"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0,1%</w:t>
            </w:r>
          </w:p>
        </w:tc>
        <w:tc>
          <w:tcPr>
            <w:tcW w:w="1701" w:type="dxa"/>
            <w:vAlign w:val="bottom"/>
          </w:tcPr>
          <w:p w14:paraId="1ADD144A"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5,4%</w:t>
            </w:r>
          </w:p>
        </w:tc>
        <w:tc>
          <w:tcPr>
            <w:tcW w:w="1700" w:type="dxa"/>
            <w:vAlign w:val="bottom"/>
          </w:tcPr>
          <w:p w14:paraId="2E6016AD"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-25,0%</w:t>
            </w:r>
          </w:p>
        </w:tc>
      </w:tr>
      <w:tr w:rsidR="000569D1" w14:paraId="4558099F" w14:textId="77777777" w:rsidTr="000569D1">
        <w:trPr>
          <w:trHeight w:val="280"/>
        </w:trPr>
        <w:tc>
          <w:tcPr>
            <w:cnfStyle w:val="001000000000" w:firstRow="0" w:lastRow="0" w:firstColumn="1" w:lastColumn="0" w:oddVBand="0" w:evenVBand="0" w:oddHBand="0" w:evenHBand="0" w:firstRowFirstColumn="0" w:firstRowLastColumn="0" w:lastRowFirstColumn="0" w:lastRowLastColumn="0"/>
            <w:tcW w:w="2127" w:type="dxa"/>
            <w:vAlign w:val="bottom"/>
          </w:tcPr>
          <w:p w14:paraId="7D05A8F8"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Pontevedra</w:t>
            </w:r>
          </w:p>
        </w:tc>
        <w:tc>
          <w:tcPr>
            <w:tcW w:w="1984" w:type="dxa"/>
            <w:vAlign w:val="bottom"/>
          </w:tcPr>
          <w:p w14:paraId="5D3029E7"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11,65 €</w:t>
            </w:r>
          </w:p>
        </w:tc>
        <w:tc>
          <w:tcPr>
            <w:tcW w:w="1559" w:type="dxa"/>
            <w:vAlign w:val="bottom"/>
          </w:tcPr>
          <w:p w14:paraId="1BC46DD8"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-0,5%</w:t>
            </w:r>
          </w:p>
        </w:tc>
        <w:tc>
          <w:tcPr>
            <w:tcW w:w="1701" w:type="dxa"/>
            <w:vAlign w:val="bottom"/>
          </w:tcPr>
          <w:p w14:paraId="59B6B2A9"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5,3%</w:t>
            </w:r>
          </w:p>
        </w:tc>
        <w:tc>
          <w:tcPr>
            <w:tcW w:w="1700" w:type="dxa"/>
            <w:vAlign w:val="bottom"/>
          </w:tcPr>
          <w:p w14:paraId="50F0EA44"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-17,6%</w:t>
            </w:r>
          </w:p>
        </w:tc>
      </w:tr>
      <w:tr w:rsidR="000569D1" w14:paraId="03AAEBCD" w14:textId="77777777" w:rsidTr="000569D1">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127" w:type="dxa"/>
            <w:vAlign w:val="bottom"/>
          </w:tcPr>
          <w:p w14:paraId="5D75E736"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Murcia</w:t>
            </w:r>
          </w:p>
        </w:tc>
        <w:tc>
          <w:tcPr>
            <w:tcW w:w="1984" w:type="dxa"/>
            <w:vAlign w:val="bottom"/>
          </w:tcPr>
          <w:p w14:paraId="0F33E347"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10,61 €</w:t>
            </w:r>
          </w:p>
        </w:tc>
        <w:tc>
          <w:tcPr>
            <w:tcW w:w="1559" w:type="dxa"/>
            <w:vAlign w:val="bottom"/>
          </w:tcPr>
          <w:p w14:paraId="54A2DA68"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-1,0%</w:t>
            </w:r>
          </w:p>
        </w:tc>
        <w:tc>
          <w:tcPr>
            <w:tcW w:w="1701" w:type="dxa"/>
            <w:vAlign w:val="bottom"/>
          </w:tcPr>
          <w:p w14:paraId="06A1A9CB"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5,2%</w:t>
            </w:r>
          </w:p>
        </w:tc>
        <w:tc>
          <w:tcPr>
            <w:tcW w:w="1700" w:type="dxa"/>
            <w:vAlign w:val="bottom"/>
          </w:tcPr>
          <w:p w14:paraId="02FB7457"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-25,0%</w:t>
            </w:r>
          </w:p>
        </w:tc>
      </w:tr>
      <w:tr w:rsidR="000569D1" w14:paraId="6BB5F6AA" w14:textId="77777777" w:rsidTr="000569D1">
        <w:trPr>
          <w:trHeight w:val="280"/>
        </w:trPr>
        <w:tc>
          <w:tcPr>
            <w:cnfStyle w:val="001000000000" w:firstRow="0" w:lastRow="0" w:firstColumn="1" w:lastColumn="0" w:oddVBand="0" w:evenVBand="0" w:oddHBand="0" w:evenHBand="0" w:firstRowFirstColumn="0" w:firstRowLastColumn="0" w:lastRowFirstColumn="0" w:lastRowLastColumn="0"/>
            <w:tcW w:w="2127" w:type="dxa"/>
            <w:vAlign w:val="bottom"/>
          </w:tcPr>
          <w:p w14:paraId="4F24C1CF"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Araba - Álava</w:t>
            </w:r>
          </w:p>
        </w:tc>
        <w:tc>
          <w:tcPr>
            <w:tcW w:w="1984" w:type="dxa"/>
            <w:vAlign w:val="bottom"/>
          </w:tcPr>
          <w:p w14:paraId="502C04B8"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14,70 €</w:t>
            </w:r>
          </w:p>
        </w:tc>
        <w:tc>
          <w:tcPr>
            <w:tcW w:w="1559" w:type="dxa"/>
            <w:vAlign w:val="bottom"/>
          </w:tcPr>
          <w:p w14:paraId="43BDF24B"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3,8%</w:t>
            </w:r>
          </w:p>
        </w:tc>
        <w:tc>
          <w:tcPr>
            <w:tcW w:w="1701" w:type="dxa"/>
            <w:vAlign w:val="bottom"/>
          </w:tcPr>
          <w:p w14:paraId="6904ECDA"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5,2%</w:t>
            </w:r>
          </w:p>
        </w:tc>
        <w:tc>
          <w:tcPr>
            <w:tcW w:w="1700" w:type="dxa"/>
            <w:vAlign w:val="bottom"/>
          </w:tcPr>
          <w:p w14:paraId="7CFF5D94"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4,0%</w:t>
            </w:r>
          </w:p>
        </w:tc>
      </w:tr>
      <w:tr w:rsidR="000569D1" w14:paraId="5ACDC01F" w14:textId="77777777" w:rsidTr="000569D1">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127" w:type="dxa"/>
            <w:vAlign w:val="bottom"/>
          </w:tcPr>
          <w:p w14:paraId="3EC4DA5C"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Granada</w:t>
            </w:r>
          </w:p>
        </w:tc>
        <w:tc>
          <w:tcPr>
            <w:tcW w:w="1984" w:type="dxa"/>
            <w:vAlign w:val="bottom"/>
          </w:tcPr>
          <w:p w14:paraId="20F9C5FA"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10,72 €</w:t>
            </w:r>
          </w:p>
        </w:tc>
        <w:tc>
          <w:tcPr>
            <w:tcW w:w="1559" w:type="dxa"/>
            <w:vAlign w:val="bottom"/>
          </w:tcPr>
          <w:p w14:paraId="292CD765"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-2,4%</w:t>
            </w:r>
          </w:p>
        </w:tc>
        <w:tc>
          <w:tcPr>
            <w:tcW w:w="1701" w:type="dxa"/>
            <w:vAlign w:val="bottom"/>
          </w:tcPr>
          <w:p w14:paraId="385013C9"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4,9%</w:t>
            </w:r>
          </w:p>
        </w:tc>
        <w:tc>
          <w:tcPr>
            <w:tcW w:w="1700" w:type="dxa"/>
            <w:vAlign w:val="bottom"/>
          </w:tcPr>
          <w:p w14:paraId="7313D48B"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-24,2%</w:t>
            </w:r>
          </w:p>
        </w:tc>
      </w:tr>
      <w:tr w:rsidR="000569D1" w14:paraId="07141BDD" w14:textId="77777777" w:rsidTr="000569D1">
        <w:trPr>
          <w:trHeight w:val="280"/>
        </w:trPr>
        <w:tc>
          <w:tcPr>
            <w:cnfStyle w:val="001000000000" w:firstRow="0" w:lastRow="0" w:firstColumn="1" w:lastColumn="0" w:oddVBand="0" w:evenVBand="0" w:oddHBand="0" w:evenHBand="0" w:firstRowFirstColumn="0" w:firstRowLastColumn="0" w:lastRowFirstColumn="0" w:lastRowLastColumn="0"/>
            <w:tcW w:w="2127" w:type="dxa"/>
            <w:vAlign w:val="bottom"/>
          </w:tcPr>
          <w:p w14:paraId="22504732"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Zamora</w:t>
            </w:r>
          </w:p>
        </w:tc>
        <w:tc>
          <w:tcPr>
            <w:tcW w:w="1984" w:type="dxa"/>
            <w:vAlign w:val="bottom"/>
          </w:tcPr>
          <w:p w14:paraId="7CC80C26"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9,62 €</w:t>
            </w:r>
          </w:p>
        </w:tc>
        <w:tc>
          <w:tcPr>
            <w:tcW w:w="1559" w:type="dxa"/>
            <w:vAlign w:val="bottom"/>
          </w:tcPr>
          <w:p w14:paraId="2186F67B"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1,1%</w:t>
            </w:r>
          </w:p>
        </w:tc>
        <w:tc>
          <w:tcPr>
            <w:tcW w:w="1701" w:type="dxa"/>
            <w:vAlign w:val="bottom"/>
          </w:tcPr>
          <w:p w14:paraId="51AA9D15"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4,7%</w:t>
            </w:r>
          </w:p>
        </w:tc>
        <w:tc>
          <w:tcPr>
            <w:tcW w:w="1700" w:type="dxa"/>
            <w:vAlign w:val="bottom"/>
          </w:tcPr>
          <w:p w14:paraId="195904A6"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-32,0%</w:t>
            </w:r>
          </w:p>
        </w:tc>
      </w:tr>
      <w:tr w:rsidR="000569D1" w14:paraId="67BB742B" w14:textId="77777777" w:rsidTr="000569D1">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127" w:type="dxa"/>
            <w:vAlign w:val="bottom"/>
          </w:tcPr>
          <w:p w14:paraId="297DB2AC"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Jaén</w:t>
            </w:r>
          </w:p>
        </w:tc>
        <w:tc>
          <w:tcPr>
            <w:tcW w:w="1984" w:type="dxa"/>
            <w:vAlign w:val="bottom"/>
          </w:tcPr>
          <w:p w14:paraId="563C2B9A"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6,91 €</w:t>
            </w:r>
          </w:p>
        </w:tc>
        <w:tc>
          <w:tcPr>
            <w:tcW w:w="1559" w:type="dxa"/>
            <w:vAlign w:val="bottom"/>
          </w:tcPr>
          <w:p w14:paraId="5D6198D9"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-2,0%</w:t>
            </w:r>
          </w:p>
        </w:tc>
        <w:tc>
          <w:tcPr>
            <w:tcW w:w="1701" w:type="dxa"/>
            <w:vAlign w:val="bottom"/>
          </w:tcPr>
          <w:p w14:paraId="043197E0"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4,2%</w:t>
            </w:r>
          </w:p>
        </w:tc>
        <w:tc>
          <w:tcPr>
            <w:tcW w:w="1700" w:type="dxa"/>
            <w:vAlign w:val="bottom"/>
          </w:tcPr>
          <w:p w14:paraId="7D9C1415"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-51,1%</w:t>
            </w:r>
          </w:p>
        </w:tc>
      </w:tr>
      <w:tr w:rsidR="000569D1" w14:paraId="6C5C4657" w14:textId="77777777" w:rsidTr="000569D1">
        <w:trPr>
          <w:trHeight w:val="280"/>
        </w:trPr>
        <w:tc>
          <w:tcPr>
            <w:cnfStyle w:val="001000000000" w:firstRow="0" w:lastRow="0" w:firstColumn="1" w:lastColumn="0" w:oddVBand="0" w:evenVBand="0" w:oddHBand="0" w:evenHBand="0" w:firstRowFirstColumn="0" w:firstRowLastColumn="0" w:lastRowFirstColumn="0" w:lastRowLastColumn="0"/>
            <w:tcW w:w="2127" w:type="dxa"/>
            <w:vAlign w:val="bottom"/>
          </w:tcPr>
          <w:p w14:paraId="1D649048"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Ourense</w:t>
            </w:r>
          </w:p>
        </w:tc>
        <w:tc>
          <w:tcPr>
            <w:tcW w:w="1984" w:type="dxa"/>
            <w:vAlign w:val="bottom"/>
          </w:tcPr>
          <w:p w14:paraId="35FFDAE5"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8,36 €</w:t>
            </w:r>
          </w:p>
        </w:tc>
        <w:tc>
          <w:tcPr>
            <w:tcW w:w="1559" w:type="dxa"/>
            <w:vAlign w:val="bottom"/>
          </w:tcPr>
          <w:p w14:paraId="337D5AA2"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1,1%</w:t>
            </w:r>
          </w:p>
        </w:tc>
        <w:tc>
          <w:tcPr>
            <w:tcW w:w="1701" w:type="dxa"/>
            <w:vAlign w:val="bottom"/>
          </w:tcPr>
          <w:p w14:paraId="6B0AD1B7"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4,0%</w:t>
            </w:r>
          </w:p>
        </w:tc>
        <w:tc>
          <w:tcPr>
            <w:tcW w:w="1700" w:type="dxa"/>
            <w:vAlign w:val="bottom"/>
          </w:tcPr>
          <w:p w14:paraId="191C43A8"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-40,9%</w:t>
            </w:r>
          </w:p>
        </w:tc>
      </w:tr>
      <w:tr w:rsidR="000569D1" w14:paraId="4E84B286" w14:textId="77777777" w:rsidTr="000569D1">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127" w:type="dxa"/>
            <w:vAlign w:val="bottom"/>
          </w:tcPr>
          <w:p w14:paraId="2B036E4B"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Las Palmas</w:t>
            </w:r>
          </w:p>
        </w:tc>
        <w:tc>
          <w:tcPr>
            <w:tcW w:w="1984" w:type="dxa"/>
            <w:vAlign w:val="bottom"/>
          </w:tcPr>
          <w:p w14:paraId="3DAB024C"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16,19 €</w:t>
            </w:r>
          </w:p>
        </w:tc>
        <w:tc>
          <w:tcPr>
            <w:tcW w:w="1559" w:type="dxa"/>
            <w:vAlign w:val="bottom"/>
          </w:tcPr>
          <w:p w14:paraId="6483E949"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-0,9%</w:t>
            </w:r>
          </w:p>
        </w:tc>
        <w:tc>
          <w:tcPr>
            <w:tcW w:w="1701" w:type="dxa"/>
            <w:vAlign w:val="bottom"/>
          </w:tcPr>
          <w:p w14:paraId="339980E5"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3,7%</w:t>
            </w:r>
          </w:p>
        </w:tc>
        <w:tc>
          <w:tcPr>
            <w:tcW w:w="1700" w:type="dxa"/>
            <w:vAlign w:val="bottom"/>
          </w:tcPr>
          <w:p w14:paraId="22F28FD5"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14,5%</w:t>
            </w:r>
          </w:p>
        </w:tc>
      </w:tr>
      <w:tr w:rsidR="000569D1" w14:paraId="776579F9" w14:textId="77777777" w:rsidTr="000569D1">
        <w:trPr>
          <w:trHeight w:val="280"/>
        </w:trPr>
        <w:tc>
          <w:tcPr>
            <w:cnfStyle w:val="001000000000" w:firstRow="0" w:lastRow="0" w:firstColumn="1" w:lastColumn="0" w:oddVBand="0" w:evenVBand="0" w:oddHBand="0" w:evenHBand="0" w:firstRowFirstColumn="0" w:firstRowLastColumn="0" w:lastRowFirstColumn="0" w:lastRowLastColumn="0"/>
            <w:tcW w:w="2127" w:type="dxa"/>
            <w:vAlign w:val="bottom"/>
          </w:tcPr>
          <w:p w14:paraId="53C197D8"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Teruel</w:t>
            </w:r>
          </w:p>
        </w:tc>
        <w:tc>
          <w:tcPr>
            <w:tcW w:w="1984" w:type="dxa"/>
            <w:vAlign w:val="bottom"/>
          </w:tcPr>
          <w:p w14:paraId="44EB1927"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7,96 €</w:t>
            </w:r>
          </w:p>
        </w:tc>
        <w:tc>
          <w:tcPr>
            <w:tcW w:w="1559" w:type="dxa"/>
            <w:vAlign w:val="bottom"/>
          </w:tcPr>
          <w:p w14:paraId="0A30C54A"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-2,6%</w:t>
            </w:r>
          </w:p>
        </w:tc>
        <w:tc>
          <w:tcPr>
            <w:tcW w:w="1701" w:type="dxa"/>
            <w:vAlign w:val="bottom"/>
          </w:tcPr>
          <w:p w14:paraId="0C0D4C60"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3,6%</w:t>
            </w:r>
          </w:p>
        </w:tc>
        <w:tc>
          <w:tcPr>
            <w:tcW w:w="1700" w:type="dxa"/>
            <w:vAlign w:val="bottom"/>
          </w:tcPr>
          <w:p w14:paraId="7537C3F5"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-43,7%</w:t>
            </w:r>
          </w:p>
        </w:tc>
      </w:tr>
      <w:tr w:rsidR="000569D1" w14:paraId="74F66BFE" w14:textId="77777777" w:rsidTr="000569D1">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127" w:type="dxa"/>
            <w:vAlign w:val="bottom"/>
          </w:tcPr>
          <w:p w14:paraId="0B053BEC"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Almería</w:t>
            </w:r>
          </w:p>
        </w:tc>
        <w:tc>
          <w:tcPr>
            <w:tcW w:w="1984" w:type="dxa"/>
            <w:vAlign w:val="bottom"/>
          </w:tcPr>
          <w:p w14:paraId="62D886F4"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9,73 €</w:t>
            </w:r>
          </w:p>
        </w:tc>
        <w:tc>
          <w:tcPr>
            <w:tcW w:w="1559" w:type="dxa"/>
            <w:vAlign w:val="bottom"/>
          </w:tcPr>
          <w:p w14:paraId="27BE1DA7"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-0,5%</w:t>
            </w:r>
          </w:p>
        </w:tc>
        <w:tc>
          <w:tcPr>
            <w:tcW w:w="1701" w:type="dxa"/>
            <w:vAlign w:val="bottom"/>
          </w:tcPr>
          <w:p w14:paraId="43844F6F"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3,5%</w:t>
            </w:r>
          </w:p>
        </w:tc>
        <w:tc>
          <w:tcPr>
            <w:tcW w:w="1700" w:type="dxa"/>
            <w:vAlign w:val="bottom"/>
          </w:tcPr>
          <w:p w14:paraId="45E81EE7"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-31,2%</w:t>
            </w:r>
          </w:p>
        </w:tc>
      </w:tr>
      <w:tr w:rsidR="000569D1" w14:paraId="6B406D89" w14:textId="77777777" w:rsidTr="000569D1">
        <w:trPr>
          <w:trHeight w:val="280"/>
        </w:trPr>
        <w:tc>
          <w:tcPr>
            <w:cnfStyle w:val="001000000000" w:firstRow="0" w:lastRow="0" w:firstColumn="1" w:lastColumn="0" w:oddVBand="0" w:evenVBand="0" w:oddHBand="0" w:evenHBand="0" w:firstRowFirstColumn="0" w:firstRowLastColumn="0" w:lastRowFirstColumn="0" w:lastRowLastColumn="0"/>
            <w:tcW w:w="2127" w:type="dxa"/>
            <w:vAlign w:val="bottom"/>
          </w:tcPr>
          <w:p w14:paraId="2C99D494"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Valencia</w:t>
            </w:r>
          </w:p>
        </w:tc>
        <w:tc>
          <w:tcPr>
            <w:tcW w:w="1984" w:type="dxa"/>
            <w:vAlign w:val="bottom"/>
          </w:tcPr>
          <w:p w14:paraId="247CFB6C"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16,07 €</w:t>
            </w:r>
          </w:p>
        </w:tc>
        <w:tc>
          <w:tcPr>
            <w:tcW w:w="1559" w:type="dxa"/>
            <w:vAlign w:val="bottom"/>
          </w:tcPr>
          <w:p w14:paraId="69C626EA"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-8,5%</w:t>
            </w:r>
          </w:p>
        </w:tc>
        <w:tc>
          <w:tcPr>
            <w:tcW w:w="1701" w:type="dxa"/>
            <w:vAlign w:val="bottom"/>
          </w:tcPr>
          <w:p w14:paraId="71CFC030"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3,4%</w:t>
            </w:r>
          </w:p>
        </w:tc>
        <w:tc>
          <w:tcPr>
            <w:tcW w:w="1700" w:type="dxa"/>
            <w:vAlign w:val="bottom"/>
          </w:tcPr>
          <w:p w14:paraId="4A0CE1D4"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13,6%</w:t>
            </w:r>
          </w:p>
        </w:tc>
      </w:tr>
      <w:tr w:rsidR="000569D1" w14:paraId="30E7C3D3" w14:textId="77777777" w:rsidTr="000569D1">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127" w:type="dxa"/>
            <w:vAlign w:val="bottom"/>
          </w:tcPr>
          <w:p w14:paraId="21B713B6"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Lleida</w:t>
            </w:r>
          </w:p>
        </w:tc>
        <w:tc>
          <w:tcPr>
            <w:tcW w:w="1984" w:type="dxa"/>
            <w:vAlign w:val="bottom"/>
          </w:tcPr>
          <w:p w14:paraId="077BF92C"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9,72 €</w:t>
            </w:r>
          </w:p>
        </w:tc>
        <w:tc>
          <w:tcPr>
            <w:tcW w:w="1559" w:type="dxa"/>
            <w:vAlign w:val="bottom"/>
          </w:tcPr>
          <w:p w14:paraId="3A12CE79"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-8,9%</w:t>
            </w:r>
          </w:p>
        </w:tc>
        <w:tc>
          <w:tcPr>
            <w:tcW w:w="1701" w:type="dxa"/>
            <w:vAlign w:val="bottom"/>
          </w:tcPr>
          <w:p w14:paraId="7E87C85A"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3,2%</w:t>
            </w:r>
          </w:p>
        </w:tc>
        <w:tc>
          <w:tcPr>
            <w:tcW w:w="1700" w:type="dxa"/>
            <w:vAlign w:val="bottom"/>
          </w:tcPr>
          <w:p w14:paraId="3A1E2114"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-31,3%</w:t>
            </w:r>
          </w:p>
        </w:tc>
      </w:tr>
      <w:tr w:rsidR="000569D1" w14:paraId="40ACC6A9" w14:textId="77777777" w:rsidTr="000569D1">
        <w:trPr>
          <w:trHeight w:val="280"/>
        </w:trPr>
        <w:tc>
          <w:tcPr>
            <w:cnfStyle w:val="001000000000" w:firstRow="0" w:lastRow="0" w:firstColumn="1" w:lastColumn="0" w:oddVBand="0" w:evenVBand="0" w:oddHBand="0" w:evenHBand="0" w:firstRowFirstColumn="0" w:firstRowLastColumn="0" w:lastRowFirstColumn="0" w:lastRowLastColumn="0"/>
            <w:tcW w:w="2127" w:type="dxa"/>
            <w:vAlign w:val="bottom"/>
          </w:tcPr>
          <w:p w14:paraId="46503B09"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La Rioja</w:t>
            </w:r>
          </w:p>
        </w:tc>
        <w:tc>
          <w:tcPr>
            <w:tcW w:w="1984" w:type="dxa"/>
            <w:vAlign w:val="bottom"/>
          </w:tcPr>
          <w:p w14:paraId="0EF5A9C1"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10,09 €</w:t>
            </w:r>
          </w:p>
        </w:tc>
        <w:tc>
          <w:tcPr>
            <w:tcW w:w="1559" w:type="dxa"/>
            <w:vAlign w:val="bottom"/>
          </w:tcPr>
          <w:p w14:paraId="017E10A8"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-1,7%</w:t>
            </w:r>
          </w:p>
        </w:tc>
        <w:tc>
          <w:tcPr>
            <w:tcW w:w="1701" w:type="dxa"/>
            <w:vAlign w:val="bottom"/>
          </w:tcPr>
          <w:p w14:paraId="5C51B1B4"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2,2%</w:t>
            </w:r>
          </w:p>
        </w:tc>
        <w:tc>
          <w:tcPr>
            <w:tcW w:w="1700" w:type="dxa"/>
            <w:vAlign w:val="bottom"/>
          </w:tcPr>
          <w:p w14:paraId="451B3AD5"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-28,6%</w:t>
            </w:r>
          </w:p>
        </w:tc>
      </w:tr>
      <w:tr w:rsidR="000569D1" w14:paraId="1ABFAA96" w14:textId="77777777" w:rsidTr="000569D1">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127" w:type="dxa"/>
            <w:vAlign w:val="bottom"/>
          </w:tcPr>
          <w:p w14:paraId="3F4E0D99"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A Coruña</w:t>
            </w:r>
          </w:p>
        </w:tc>
        <w:tc>
          <w:tcPr>
            <w:tcW w:w="1984" w:type="dxa"/>
            <w:vAlign w:val="bottom"/>
          </w:tcPr>
          <w:p w14:paraId="306C7602"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10,81 €</w:t>
            </w:r>
          </w:p>
        </w:tc>
        <w:tc>
          <w:tcPr>
            <w:tcW w:w="1559" w:type="dxa"/>
            <w:vAlign w:val="bottom"/>
          </w:tcPr>
          <w:p w14:paraId="4BF7F2E2"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-1,8%</w:t>
            </w:r>
          </w:p>
        </w:tc>
        <w:tc>
          <w:tcPr>
            <w:tcW w:w="1701" w:type="dxa"/>
            <w:vAlign w:val="bottom"/>
          </w:tcPr>
          <w:p w14:paraId="022D9EDF"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1,8%</w:t>
            </w:r>
          </w:p>
        </w:tc>
        <w:tc>
          <w:tcPr>
            <w:tcW w:w="1700" w:type="dxa"/>
            <w:vAlign w:val="bottom"/>
          </w:tcPr>
          <w:p w14:paraId="2B349187"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-23,6%</w:t>
            </w:r>
          </w:p>
        </w:tc>
      </w:tr>
      <w:tr w:rsidR="000569D1" w14:paraId="34EB638F" w14:textId="77777777" w:rsidTr="000569D1">
        <w:trPr>
          <w:trHeight w:val="280"/>
        </w:trPr>
        <w:tc>
          <w:tcPr>
            <w:cnfStyle w:val="001000000000" w:firstRow="0" w:lastRow="0" w:firstColumn="1" w:lastColumn="0" w:oddVBand="0" w:evenVBand="0" w:oddHBand="0" w:evenHBand="0" w:firstRowFirstColumn="0" w:firstRowLastColumn="0" w:lastRowFirstColumn="0" w:lastRowLastColumn="0"/>
            <w:tcW w:w="2127" w:type="dxa"/>
            <w:vAlign w:val="bottom"/>
          </w:tcPr>
          <w:p w14:paraId="45FFEBFF"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Málaga</w:t>
            </w:r>
          </w:p>
        </w:tc>
        <w:tc>
          <w:tcPr>
            <w:tcW w:w="1984" w:type="dxa"/>
            <w:vAlign w:val="bottom"/>
          </w:tcPr>
          <w:p w14:paraId="060D75A0"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16,23 €</w:t>
            </w:r>
          </w:p>
        </w:tc>
        <w:tc>
          <w:tcPr>
            <w:tcW w:w="1559" w:type="dxa"/>
            <w:vAlign w:val="bottom"/>
          </w:tcPr>
          <w:p w14:paraId="4D662263"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-0,7%</w:t>
            </w:r>
          </w:p>
        </w:tc>
        <w:tc>
          <w:tcPr>
            <w:tcW w:w="1701" w:type="dxa"/>
            <w:vAlign w:val="bottom"/>
          </w:tcPr>
          <w:p w14:paraId="624210B2"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1,7%</w:t>
            </w:r>
          </w:p>
        </w:tc>
        <w:tc>
          <w:tcPr>
            <w:tcW w:w="1700" w:type="dxa"/>
            <w:vAlign w:val="bottom"/>
          </w:tcPr>
          <w:p w14:paraId="1B87699D"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14,8%</w:t>
            </w:r>
          </w:p>
        </w:tc>
      </w:tr>
      <w:tr w:rsidR="000569D1" w14:paraId="0DD95462" w14:textId="77777777" w:rsidTr="000569D1">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127" w:type="dxa"/>
            <w:vAlign w:val="bottom"/>
          </w:tcPr>
          <w:p w14:paraId="45572F47"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Córdoba</w:t>
            </w:r>
          </w:p>
        </w:tc>
        <w:tc>
          <w:tcPr>
            <w:tcW w:w="1984" w:type="dxa"/>
            <w:vAlign w:val="bottom"/>
          </w:tcPr>
          <w:p w14:paraId="3CBD97D3"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8,79 €</w:t>
            </w:r>
          </w:p>
        </w:tc>
        <w:tc>
          <w:tcPr>
            <w:tcW w:w="1559" w:type="dxa"/>
            <w:vAlign w:val="bottom"/>
          </w:tcPr>
          <w:p w14:paraId="50765C1C"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-2,5%</w:t>
            </w:r>
          </w:p>
        </w:tc>
        <w:tc>
          <w:tcPr>
            <w:tcW w:w="1701" w:type="dxa"/>
            <w:vAlign w:val="bottom"/>
          </w:tcPr>
          <w:p w14:paraId="67B86B92"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1,5%</w:t>
            </w:r>
          </w:p>
        </w:tc>
        <w:tc>
          <w:tcPr>
            <w:tcW w:w="1700" w:type="dxa"/>
            <w:vAlign w:val="bottom"/>
          </w:tcPr>
          <w:p w14:paraId="2903B23B"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-37,8%</w:t>
            </w:r>
          </w:p>
        </w:tc>
      </w:tr>
      <w:tr w:rsidR="000569D1" w14:paraId="181EC3E0" w14:textId="77777777" w:rsidTr="000569D1">
        <w:trPr>
          <w:trHeight w:val="280"/>
        </w:trPr>
        <w:tc>
          <w:tcPr>
            <w:cnfStyle w:val="001000000000" w:firstRow="0" w:lastRow="0" w:firstColumn="1" w:lastColumn="0" w:oddVBand="0" w:evenVBand="0" w:oddHBand="0" w:evenHBand="0" w:firstRowFirstColumn="0" w:firstRowLastColumn="0" w:lastRowFirstColumn="0" w:lastRowLastColumn="0"/>
            <w:tcW w:w="2127" w:type="dxa"/>
            <w:vAlign w:val="bottom"/>
          </w:tcPr>
          <w:p w14:paraId="6586E9FF"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Bizkaia</w:t>
            </w:r>
          </w:p>
        </w:tc>
        <w:tc>
          <w:tcPr>
            <w:tcW w:w="1984" w:type="dxa"/>
            <w:vAlign w:val="bottom"/>
          </w:tcPr>
          <w:p w14:paraId="03CBD6E6"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16,49 €</w:t>
            </w:r>
          </w:p>
        </w:tc>
        <w:tc>
          <w:tcPr>
            <w:tcW w:w="1559" w:type="dxa"/>
            <w:vAlign w:val="bottom"/>
          </w:tcPr>
          <w:p w14:paraId="3DFFE150"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-3,7%</w:t>
            </w:r>
          </w:p>
        </w:tc>
        <w:tc>
          <w:tcPr>
            <w:tcW w:w="1701" w:type="dxa"/>
            <w:vAlign w:val="bottom"/>
          </w:tcPr>
          <w:p w14:paraId="1C7396E7"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0,8%</w:t>
            </w:r>
          </w:p>
        </w:tc>
        <w:tc>
          <w:tcPr>
            <w:tcW w:w="1700" w:type="dxa"/>
            <w:vAlign w:val="bottom"/>
          </w:tcPr>
          <w:p w14:paraId="1970D16B"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16,6%</w:t>
            </w:r>
          </w:p>
        </w:tc>
      </w:tr>
      <w:tr w:rsidR="000569D1" w14:paraId="7BEB52B5" w14:textId="77777777" w:rsidTr="000569D1">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127" w:type="dxa"/>
            <w:vAlign w:val="bottom"/>
          </w:tcPr>
          <w:p w14:paraId="6F4D1F38"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Gipuzkoa</w:t>
            </w:r>
          </w:p>
        </w:tc>
        <w:tc>
          <w:tcPr>
            <w:tcW w:w="1984" w:type="dxa"/>
            <w:vAlign w:val="bottom"/>
          </w:tcPr>
          <w:p w14:paraId="7CB3A60B"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19,07 €</w:t>
            </w:r>
          </w:p>
        </w:tc>
        <w:tc>
          <w:tcPr>
            <w:tcW w:w="1559" w:type="dxa"/>
            <w:vAlign w:val="bottom"/>
          </w:tcPr>
          <w:p w14:paraId="12F5FA32"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9,0%</w:t>
            </w:r>
          </w:p>
        </w:tc>
        <w:tc>
          <w:tcPr>
            <w:tcW w:w="1701" w:type="dxa"/>
            <w:vAlign w:val="bottom"/>
          </w:tcPr>
          <w:p w14:paraId="018C0FEF"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0,4%</w:t>
            </w:r>
          </w:p>
        </w:tc>
        <w:tc>
          <w:tcPr>
            <w:tcW w:w="1700" w:type="dxa"/>
            <w:vAlign w:val="bottom"/>
          </w:tcPr>
          <w:p w14:paraId="754BE70A"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34,9%</w:t>
            </w:r>
          </w:p>
        </w:tc>
      </w:tr>
      <w:tr w:rsidR="000569D1" w14:paraId="223DFF47" w14:textId="77777777" w:rsidTr="000569D1">
        <w:trPr>
          <w:trHeight w:val="280"/>
        </w:trPr>
        <w:tc>
          <w:tcPr>
            <w:cnfStyle w:val="001000000000" w:firstRow="0" w:lastRow="0" w:firstColumn="1" w:lastColumn="0" w:oddVBand="0" w:evenVBand="0" w:oddHBand="0" w:evenHBand="0" w:firstRowFirstColumn="0" w:firstRowLastColumn="0" w:lastRowFirstColumn="0" w:lastRowLastColumn="0"/>
            <w:tcW w:w="2127" w:type="dxa"/>
            <w:vAlign w:val="bottom"/>
          </w:tcPr>
          <w:p w14:paraId="0DD0DAAD"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Sevilla</w:t>
            </w:r>
          </w:p>
        </w:tc>
        <w:tc>
          <w:tcPr>
            <w:tcW w:w="1984" w:type="dxa"/>
            <w:vAlign w:val="bottom"/>
          </w:tcPr>
          <w:p w14:paraId="2061C823"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13,28 €</w:t>
            </w:r>
          </w:p>
        </w:tc>
        <w:tc>
          <w:tcPr>
            <w:tcW w:w="1559" w:type="dxa"/>
            <w:vAlign w:val="bottom"/>
          </w:tcPr>
          <w:p w14:paraId="62479D69"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-3,3%</w:t>
            </w:r>
          </w:p>
        </w:tc>
        <w:tc>
          <w:tcPr>
            <w:tcW w:w="1701" w:type="dxa"/>
            <w:vAlign w:val="bottom"/>
          </w:tcPr>
          <w:p w14:paraId="706EB5E9"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0,4%</w:t>
            </w:r>
          </w:p>
        </w:tc>
        <w:tc>
          <w:tcPr>
            <w:tcW w:w="1700" w:type="dxa"/>
            <w:vAlign w:val="bottom"/>
          </w:tcPr>
          <w:p w14:paraId="624593A5"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-6,1%</w:t>
            </w:r>
          </w:p>
        </w:tc>
      </w:tr>
      <w:tr w:rsidR="000569D1" w14:paraId="62680F0B" w14:textId="77777777" w:rsidTr="000569D1">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127" w:type="dxa"/>
            <w:vAlign w:val="bottom"/>
          </w:tcPr>
          <w:p w14:paraId="3F771492"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Illes Balears</w:t>
            </w:r>
          </w:p>
        </w:tc>
        <w:tc>
          <w:tcPr>
            <w:tcW w:w="1984" w:type="dxa"/>
            <w:vAlign w:val="bottom"/>
          </w:tcPr>
          <w:p w14:paraId="565CED58"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19,07 €</w:t>
            </w:r>
          </w:p>
        </w:tc>
        <w:tc>
          <w:tcPr>
            <w:tcW w:w="1559" w:type="dxa"/>
            <w:vAlign w:val="bottom"/>
          </w:tcPr>
          <w:p w14:paraId="460A2DAC"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-0,8%</w:t>
            </w:r>
          </w:p>
        </w:tc>
        <w:tc>
          <w:tcPr>
            <w:tcW w:w="1701" w:type="dxa"/>
            <w:vAlign w:val="bottom"/>
          </w:tcPr>
          <w:p w14:paraId="0F86FE1F"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0,3%</w:t>
            </w:r>
          </w:p>
        </w:tc>
        <w:tc>
          <w:tcPr>
            <w:tcW w:w="1700" w:type="dxa"/>
            <w:vAlign w:val="bottom"/>
          </w:tcPr>
          <w:p w14:paraId="48CFAE8C"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34,9%</w:t>
            </w:r>
          </w:p>
        </w:tc>
      </w:tr>
      <w:tr w:rsidR="000569D1" w14:paraId="6662EC8E" w14:textId="77777777" w:rsidTr="000569D1">
        <w:trPr>
          <w:trHeight w:val="280"/>
        </w:trPr>
        <w:tc>
          <w:tcPr>
            <w:cnfStyle w:val="001000000000" w:firstRow="0" w:lastRow="0" w:firstColumn="1" w:lastColumn="0" w:oddVBand="0" w:evenVBand="0" w:oddHBand="0" w:evenHBand="0" w:firstRowFirstColumn="0" w:firstRowLastColumn="0" w:lastRowFirstColumn="0" w:lastRowLastColumn="0"/>
            <w:tcW w:w="2127" w:type="dxa"/>
            <w:vAlign w:val="bottom"/>
          </w:tcPr>
          <w:p w14:paraId="4D15FF33"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Cantabria</w:t>
            </w:r>
          </w:p>
        </w:tc>
        <w:tc>
          <w:tcPr>
            <w:tcW w:w="1984" w:type="dxa"/>
            <w:vAlign w:val="bottom"/>
          </w:tcPr>
          <w:p w14:paraId="5FEC1813"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14,03 €</w:t>
            </w:r>
          </w:p>
        </w:tc>
        <w:tc>
          <w:tcPr>
            <w:tcW w:w="1559" w:type="dxa"/>
            <w:vAlign w:val="bottom"/>
          </w:tcPr>
          <w:p w14:paraId="7F6474DA"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9C0006"/>
                <w:sz w:val="22"/>
                <w:szCs w:val="22"/>
              </w:rPr>
            </w:pPr>
            <w:r>
              <w:rPr>
                <w:rFonts w:ascii="Open Sans" w:eastAsia="Open Sans" w:hAnsi="Open Sans" w:cs="Open Sans"/>
                <w:color w:val="9C0006"/>
                <w:sz w:val="22"/>
                <w:szCs w:val="22"/>
              </w:rPr>
              <w:t>-0,2%</w:t>
            </w:r>
          </w:p>
        </w:tc>
        <w:tc>
          <w:tcPr>
            <w:tcW w:w="1701" w:type="dxa"/>
            <w:vAlign w:val="bottom"/>
          </w:tcPr>
          <w:p w14:paraId="4BE3DB3C"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0,2%</w:t>
            </w:r>
          </w:p>
        </w:tc>
        <w:tc>
          <w:tcPr>
            <w:tcW w:w="1700" w:type="dxa"/>
            <w:vAlign w:val="bottom"/>
          </w:tcPr>
          <w:p w14:paraId="7F5E795D"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-0,8%</w:t>
            </w:r>
          </w:p>
        </w:tc>
      </w:tr>
      <w:tr w:rsidR="000569D1" w14:paraId="2EC824C7" w14:textId="77777777" w:rsidTr="000569D1">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127" w:type="dxa"/>
            <w:vAlign w:val="bottom"/>
          </w:tcPr>
          <w:p w14:paraId="7C19E284"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Soria</w:t>
            </w:r>
          </w:p>
        </w:tc>
        <w:tc>
          <w:tcPr>
            <w:tcW w:w="1984" w:type="dxa"/>
            <w:vAlign w:val="bottom"/>
          </w:tcPr>
          <w:p w14:paraId="0813E77B"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8,49 €</w:t>
            </w:r>
          </w:p>
        </w:tc>
        <w:tc>
          <w:tcPr>
            <w:tcW w:w="1559" w:type="dxa"/>
            <w:vAlign w:val="bottom"/>
          </w:tcPr>
          <w:p w14:paraId="7EA4012B"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-6,5%</w:t>
            </w:r>
          </w:p>
        </w:tc>
        <w:tc>
          <w:tcPr>
            <w:tcW w:w="1701" w:type="dxa"/>
            <w:vAlign w:val="bottom"/>
          </w:tcPr>
          <w:p w14:paraId="74CDC441"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9C0006"/>
                <w:sz w:val="22"/>
                <w:szCs w:val="22"/>
              </w:rPr>
              <w:t>-0,2%</w:t>
            </w:r>
          </w:p>
        </w:tc>
        <w:tc>
          <w:tcPr>
            <w:tcW w:w="1700" w:type="dxa"/>
            <w:vAlign w:val="bottom"/>
          </w:tcPr>
          <w:p w14:paraId="14EEF8B6"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-40,0%</w:t>
            </w:r>
          </w:p>
        </w:tc>
      </w:tr>
      <w:tr w:rsidR="000569D1" w14:paraId="24634781" w14:textId="77777777" w:rsidTr="000569D1">
        <w:trPr>
          <w:trHeight w:val="280"/>
        </w:trPr>
        <w:tc>
          <w:tcPr>
            <w:cnfStyle w:val="001000000000" w:firstRow="0" w:lastRow="0" w:firstColumn="1" w:lastColumn="0" w:oddVBand="0" w:evenVBand="0" w:oddHBand="0" w:evenHBand="0" w:firstRowFirstColumn="0" w:firstRowLastColumn="0" w:lastRowFirstColumn="0" w:lastRowLastColumn="0"/>
            <w:tcW w:w="2127" w:type="dxa"/>
            <w:vAlign w:val="bottom"/>
          </w:tcPr>
          <w:p w14:paraId="4F37A4C8"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Ávila</w:t>
            </w:r>
          </w:p>
        </w:tc>
        <w:tc>
          <w:tcPr>
            <w:tcW w:w="1984" w:type="dxa"/>
            <w:vAlign w:val="bottom"/>
          </w:tcPr>
          <w:p w14:paraId="24B9793B"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8,11 €</w:t>
            </w:r>
          </w:p>
        </w:tc>
        <w:tc>
          <w:tcPr>
            <w:tcW w:w="1559" w:type="dxa"/>
            <w:vAlign w:val="bottom"/>
          </w:tcPr>
          <w:p w14:paraId="7A6C8779"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-5,4%</w:t>
            </w:r>
          </w:p>
        </w:tc>
        <w:tc>
          <w:tcPr>
            <w:tcW w:w="1701" w:type="dxa"/>
            <w:vAlign w:val="bottom"/>
          </w:tcPr>
          <w:p w14:paraId="30963241"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9C0006"/>
                <w:sz w:val="22"/>
                <w:szCs w:val="22"/>
              </w:rPr>
              <w:t>-5,1%</w:t>
            </w:r>
          </w:p>
        </w:tc>
        <w:tc>
          <w:tcPr>
            <w:tcW w:w="1700" w:type="dxa"/>
            <w:vAlign w:val="bottom"/>
          </w:tcPr>
          <w:p w14:paraId="0D12C6DA"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9C0006"/>
                <w:sz w:val="22"/>
                <w:szCs w:val="22"/>
              </w:rPr>
            </w:pPr>
            <w:r>
              <w:rPr>
                <w:rFonts w:ascii="Open Sans" w:eastAsia="Open Sans" w:hAnsi="Open Sans" w:cs="Open Sans"/>
                <w:color w:val="9C0006"/>
                <w:sz w:val="22"/>
                <w:szCs w:val="22"/>
              </w:rPr>
              <w:t>-42,6%</w:t>
            </w:r>
          </w:p>
        </w:tc>
      </w:tr>
      <w:tr w:rsidR="000569D1" w14:paraId="209B3A21" w14:textId="77777777" w:rsidTr="000569D1">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127" w:type="dxa"/>
            <w:vAlign w:val="bottom"/>
          </w:tcPr>
          <w:p w14:paraId="0FBADD15"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Madrid</w:t>
            </w:r>
          </w:p>
        </w:tc>
        <w:tc>
          <w:tcPr>
            <w:tcW w:w="1984" w:type="dxa"/>
            <w:vAlign w:val="bottom"/>
          </w:tcPr>
          <w:p w14:paraId="0EC03178"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9C0006"/>
                <w:sz w:val="22"/>
                <w:szCs w:val="22"/>
              </w:rPr>
            </w:pPr>
            <w:r>
              <w:rPr>
                <w:rFonts w:ascii="Open Sans" w:eastAsia="Open Sans" w:hAnsi="Open Sans" w:cs="Open Sans"/>
                <w:color w:val="000000"/>
                <w:sz w:val="22"/>
                <w:szCs w:val="22"/>
              </w:rPr>
              <w:t>19,27 €</w:t>
            </w:r>
          </w:p>
        </w:tc>
        <w:tc>
          <w:tcPr>
            <w:tcW w:w="1559" w:type="dxa"/>
            <w:vAlign w:val="bottom"/>
          </w:tcPr>
          <w:p w14:paraId="7E367CF7"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9C0006"/>
                <w:sz w:val="22"/>
                <w:szCs w:val="22"/>
              </w:rPr>
            </w:pPr>
            <w:r>
              <w:rPr>
                <w:rFonts w:ascii="Open Sans" w:eastAsia="Open Sans" w:hAnsi="Open Sans" w:cs="Open Sans"/>
                <w:color w:val="9C0006"/>
                <w:sz w:val="22"/>
                <w:szCs w:val="22"/>
              </w:rPr>
              <w:t>-12,2%</w:t>
            </w:r>
          </w:p>
        </w:tc>
        <w:tc>
          <w:tcPr>
            <w:tcW w:w="1701" w:type="dxa"/>
            <w:vAlign w:val="bottom"/>
          </w:tcPr>
          <w:p w14:paraId="0B650EAA"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9C0006"/>
                <w:sz w:val="22"/>
                <w:szCs w:val="22"/>
              </w:rPr>
              <w:t>-10,6%</w:t>
            </w:r>
          </w:p>
        </w:tc>
        <w:tc>
          <w:tcPr>
            <w:tcW w:w="1700" w:type="dxa"/>
            <w:vAlign w:val="bottom"/>
          </w:tcPr>
          <w:p w14:paraId="3EF037D8"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9C0006"/>
                <w:sz w:val="22"/>
                <w:szCs w:val="22"/>
              </w:rPr>
            </w:pPr>
            <w:r>
              <w:rPr>
                <w:rFonts w:ascii="Open Sans" w:eastAsia="Open Sans" w:hAnsi="Open Sans" w:cs="Open Sans"/>
                <w:color w:val="000000"/>
                <w:sz w:val="22"/>
                <w:szCs w:val="22"/>
              </w:rPr>
              <w:t>36,3%</w:t>
            </w:r>
          </w:p>
        </w:tc>
      </w:tr>
      <w:tr w:rsidR="000569D1" w14:paraId="51168904" w14:textId="77777777" w:rsidTr="000569D1">
        <w:trPr>
          <w:trHeight w:val="280"/>
        </w:trPr>
        <w:tc>
          <w:tcPr>
            <w:cnfStyle w:val="001000000000" w:firstRow="0" w:lastRow="0" w:firstColumn="1" w:lastColumn="0" w:oddVBand="0" w:evenVBand="0" w:oddHBand="0" w:evenHBand="0" w:firstRowFirstColumn="0" w:firstRowLastColumn="0" w:lastRowFirstColumn="0" w:lastRowLastColumn="0"/>
            <w:tcW w:w="2127" w:type="dxa"/>
            <w:vAlign w:val="bottom"/>
          </w:tcPr>
          <w:p w14:paraId="7E11C399"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Barcelona</w:t>
            </w:r>
          </w:p>
        </w:tc>
        <w:tc>
          <w:tcPr>
            <w:tcW w:w="1984" w:type="dxa"/>
            <w:vAlign w:val="bottom"/>
          </w:tcPr>
          <w:p w14:paraId="0A89CCF5"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17,86 €</w:t>
            </w:r>
          </w:p>
        </w:tc>
        <w:tc>
          <w:tcPr>
            <w:tcW w:w="1559" w:type="dxa"/>
            <w:vAlign w:val="bottom"/>
          </w:tcPr>
          <w:p w14:paraId="63887698"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9C0006"/>
                <w:sz w:val="22"/>
                <w:szCs w:val="22"/>
              </w:rPr>
            </w:pPr>
            <w:r>
              <w:rPr>
                <w:rFonts w:ascii="Open Sans" w:eastAsia="Open Sans" w:hAnsi="Open Sans" w:cs="Open Sans"/>
                <w:color w:val="9C0006"/>
                <w:sz w:val="22"/>
                <w:szCs w:val="22"/>
              </w:rPr>
              <w:t>-8,2%</w:t>
            </w:r>
          </w:p>
        </w:tc>
        <w:tc>
          <w:tcPr>
            <w:tcW w:w="1701" w:type="dxa"/>
            <w:vAlign w:val="bottom"/>
          </w:tcPr>
          <w:p w14:paraId="053A89C7"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9C0006"/>
                <w:sz w:val="22"/>
                <w:szCs w:val="22"/>
              </w:rPr>
            </w:pPr>
            <w:r>
              <w:rPr>
                <w:rFonts w:ascii="Open Sans" w:eastAsia="Open Sans" w:hAnsi="Open Sans" w:cs="Open Sans"/>
                <w:b/>
                <w:bCs/>
                <w:color w:val="9C0006"/>
                <w:sz w:val="22"/>
                <w:szCs w:val="22"/>
              </w:rPr>
              <w:t>-18,2%</w:t>
            </w:r>
          </w:p>
        </w:tc>
        <w:tc>
          <w:tcPr>
            <w:tcW w:w="1700" w:type="dxa"/>
            <w:vAlign w:val="bottom"/>
          </w:tcPr>
          <w:p w14:paraId="31C441A1"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26,3%</w:t>
            </w:r>
          </w:p>
        </w:tc>
      </w:tr>
    </w:tbl>
    <w:p w14:paraId="68933BE3" w14:textId="77777777" w:rsidR="000569D1" w:rsidRDefault="000569D1">
      <w:pPr>
        <w:spacing w:line="276" w:lineRule="auto"/>
        <w:ind w:right="-567"/>
        <w:rPr>
          <w:rFonts w:ascii="Open Sans Light" w:eastAsia="Open Sans Light" w:hAnsi="Open Sans Light" w:cs="Open Sans Light"/>
          <w:b/>
          <w:bCs/>
          <w:color w:val="303AB2"/>
          <w:sz w:val="28"/>
          <w:szCs w:val="28"/>
        </w:rPr>
      </w:pPr>
    </w:p>
    <w:p w14:paraId="43909B4A" w14:textId="77777777" w:rsidR="006B0804" w:rsidRDefault="006B0804">
      <w:pPr>
        <w:spacing w:line="276" w:lineRule="auto"/>
        <w:ind w:right="-567"/>
        <w:rPr>
          <w:rFonts w:ascii="Open Sans Light" w:eastAsia="Open Sans Light" w:hAnsi="Open Sans Light" w:cs="Open Sans Light"/>
          <w:b/>
          <w:bCs/>
          <w:color w:val="303AB2"/>
          <w:sz w:val="28"/>
          <w:szCs w:val="28"/>
        </w:rPr>
      </w:pPr>
    </w:p>
    <w:p w14:paraId="736D60B5" w14:textId="763DFFF0" w:rsidR="000569D1" w:rsidRDefault="00000000">
      <w:pPr>
        <w:spacing w:line="276" w:lineRule="auto"/>
        <w:ind w:right="-567"/>
        <w:rPr>
          <w:rFonts w:ascii="Open Sans Light" w:eastAsia="Open Sans Light" w:hAnsi="Open Sans Light" w:cs="Open Sans Light"/>
          <w:b/>
          <w:bCs/>
          <w:color w:val="303AB2"/>
          <w:sz w:val="28"/>
          <w:szCs w:val="28"/>
        </w:rPr>
      </w:pPr>
      <w:r>
        <w:rPr>
          <w:rFonts w:ascii="Open Sans Light" w:eastAsia="Open Sans Light" w:hAnsi="Open Sans Light" w:cs="Open Sans Light"/>
          <w:b/>
          <w:bCs/>
          <w:color w:val="303AB2"/>
          <w:sz w:val="28"/>
          <w:szCs w:val="28"/>
        </w:rPr>
        <w:lastRenderedPageBreak/>
        <w:t xml:space="preserve">Capitales de provincia </w:t>
      </w:r>
    </w:p>
    <w:p w14:paraId="4623F983" w14:textId="77777777" w:rsidR="000569D1" w:rsidRDefault="000569D1">
      <w:pPr>
        <w:spacing w:line="276" w:lineRule="auto"/>
        <w:ind w:right="-567"/>
        <w:jc w:val="both"/>
        <w:rPr>
          <w:rFonts w:ascii="Open Sans" w:eastAsia="Open Sans" w:hAnsi="Open Sans" w:cs="Open Sans"/>
          <w:color w:val="000000"/>
        </w:rPr>
      </w:pPr>
    </w:p>
    <w:p w14:paraId="6D27F6DF" w14:textId="77777777" w:rsidR="000569D1" w:rsidRDefault="00000000">
      <w:pPr>
        <w:spacing w:line="276" w:lineRule="auto"/>
        <w:ind w:right="-567"/>
        <w:jc w:val="both"/>
        <w:rPr>
          <w:rFonts w:ascii="Open Sans" w:eastAsia="Open Sans" w:hAnsi="Open Sans" w:cs="Open Sans"/>
          <w:color w:val="000000"/>
        </w:rPr>
      </w:pPr>
      <w:r>
        <w:rPr>
          <w:rFonts w:ascii="Open Sans" w:eastAsia="Open Sans" w:hAnsi="Open Sans" w:cs="Open Sans"/>
          <w:color w:val="000000"/>
        </w:rPr>
        <w:t xml:space="preserve">El precio del alquiler interanual sube en 38 de las 49 (78%) capitales con variación interanual analizadas por </w:t>
      </w:r>
      <w:hyperlink r:id="rId16">
        <w:r w:rsidR="000569D1">
          <w:rPr>
            <w:rFonts w:ascii="Open Sans" w:eastAsia="Open Sans" w:hAnsi="Open Sans" w:cs="Open Sans"/>
            <w:color w:val="0000FF"/>
            <w:u w:val="single"/>
          </w:rPr>
          <w:t>Fotocasa</w:t>
        </w:r>
      </w:hyperlink>
      <w:r>
        <w:rPr>
          <w:rFonts w:ascii="Open Sans" w:eastAsia="Open Sans" w:hAnsi="Open Sans" w:cs="Open Sans"/>
          <w:color w:val="000000"/>
        </w:rPr>
        <w:t>. Si vemos con detalle las capitales con variación interanual analizadas, se contabilizan diez capitales con subidas interanuales de dos dígitos y son: Guadalajara capital (32,0%), Cuenca capital (27,7%), Zaragoza capital (14,8%), Huelva capital (14,0%), Palencia capital (13,8%), Pamplona / Iruña (12,9%), Ciudad Real capital  (12,3%), Burgos capital (12,2%), Pontevedra capital (11,8%), Badajoz capital (11,5%), Por otro lado, las dos de las once ciudades en la que se produce los mayores descensos interanuales son:  Barcelona capital (-22,3%) y Madrid capital (-10,7%).</w:t>
      </w:r>
    </w:p>
    <w:p w14:paraId="3136B283" w14:textId="77777777" w:rsidR="000569D1" w:rsidRDefault="000569D1">
      <w:pPr>
        <w:spacing w:line="276" w:lineRule="auto"/>
        <w:ind w:right="-567"/>
        <w:jc w:val="both"/>
        <w:rPr>
          <w:rFonts w:ascii="Open Sans" w:eastAsia="Open Sans" w:hAnsi="Open Sans" w:cs="Open Sans"/>
          <w:color w:val="000000"/>
        </w:rPr>
      </w:pPr>
    </w:p>
    <w:p w14:paraId="1A6B1BD7" w14:textId="77777777" w:rsidR="000569D1" w:rsidRDefault="00000000">
      <w:pPr>
        <w:spacing w:line="276" w:lineRule="auto"/>
        <w:ind w:right="-567"/>
        <w:jc w:val="both"/>
        <w:rPr>
          <w:rFonts w:ascii="Open Sans" w:eastAsia="Open Sans" w:hAnsi="Open Sans" w:cs="Open Sans"/>
          <w:color w:val="000000"/>
        </w:rPr>
      </w:pPr>
      <w:r>
        <w:rPr>
          <w:rFonts w:ascii="Open Sans" w:eastAsia="Open Sans" w:hAnsi="Open Sans" w:cs="Open Sans"/>
          <w:color w:val="000000"/>
        </w:rPr>
        <w:t>En cuanto al precio por metro cuadrado en julio, vemos que once ciudades sobrepasan los 15,00 €/m</w:t>
      </w:r>
      <w:r>
        <w:rPr>
          <w:rFonts w:ascii="Open Sans" w:eastAsia="Open Sans" w:hAnsi="Open Sans" w:cs="Open Sans"/>
          <w:color w:val="000000"/>
          <w:vertAlign w:val="superscript"/>
        </w:rPr>
        <w:t>2</w:t>
      </w:r>
      <w:r>
        <w:rPr>
          <w:rFonts w:ascii="Open Sans" w:eastAsia="Open Sans" w:hAnsi="Open Sans" w:cs="Open Sans"/>
          <w:color w:val="000000"/>
        </w:rPr>
        <w:t xml:space="preserve"> al mes y son: Donostia - San Sebastián con 20,13 €/m</w:t>
      </w:r>
      <w:r>
        <w:rPr>
          <w:rFonts w:ascii="Open Sans" w:eastAsia="Open Sans" w:hAnsi="Open Sans" w:cs="Open Sans"/>
          <w:color w:val="000000"/>
          <w:vertAlign w:val="superscript"/>
        </w:rPr>
        <w:t xml:space="preserve">2 </w:t>
      </w:r>
      <w:r>
        <w:rPr>
          <w:rFonts w:ascii="Open Sans" w:eastAsia="Open Sans" w:hAnsi="Open Sans" w:cs="Open Sans"/>
          <w:color w:val="000000"/>
        </w:rPr>
        <w:t>al mes, Madrid capital con 19,95 €/m</w:t>
      </w:r>
      <w:r>
        <w:rPr>
          <w:rFonts w:ascii="Open Sans" w:eastAsia="Open Sans" w:hAnsi="Open Sans" w:cs="Open Sans"/>
          <w:color w:val="000000"/>
          <w:vertAlign w:val="superscript"/>
        </w:rPr>
        <w:t xml:space="preserve">2 </w:t>
      </w:r>
      <w:r>
        <w:rPr>
          <w:rFonts w:ascii="Open Sans" w:eastAsia="Open Sans" w:hAnsi="Open Sans" w:cs="Open Sans"/>
          <w:color w:val="000000"/>
        </w:rPr>
        <w:t>al mes, Palma de Mallorca con 19,11 €/m</w:t>
      </w:r>
      <w:r>
        <w:rPr>
          <w:rFonts w:ascii="Open Sans" w:eastAsia="Open Sans" w:hAnsi="Open Sans" w:cs="Open Sans"/>
          <w:color w:val="000000"/>
          <w:vertAlign w:val="superscript"/>
        </w:rPr>
        <w:t xml:space="preserve">2 </w:t>
      </w:r>
      <w:r>
        <w:rPr>
          <w:rFonts w:ascii="Open Sans" w:eastAsia="Open Sans" w:hAnsi="Open Sans" w:cs="Open Sans"/>
          <w:color w:val="000000"/>
        </w:rPr>
        <w:t>al mes, Barcelona capital con 18,20 €/m</w:t>
      </w:r>
      <w:r>
        <w:rPr>
          <w:rFonts w:ascii="Open Sans" w:eastAsia="Open Sans" w:hAnsi="Open Sans" w:cs="Open Sans"/>
          <w:color w:val="000000"/>
          <w:vertAlign w:val="superscript"/>
        </w:rPr>
        <w:t xml:space="preserve">2 </w:t>
      </w:r>
      <w:r>
        <w:rPr>
          <w:rFonts w:ascii="Open Sans" w:eastAsia="Open Sans" w:hAnsi="Open Sans" w:cs="Open Sans"/>
          <w:color w:val="000000"/>
        </w:rPr>
        <w:t>al mes, Valencia capital con 17,13 €/m</w:t>
      </w:r>
      <w:r>
        <w:rPr>
          <w:rFonts w:ascii="Open Sans" w:eastAsia="Open Sans" w:hAnsi="Open Sans" w:cs="Open Sans"/>
          <w:color w:val="000000"/>
          <w:vertAlign w:val="superscript"/>
        </w:rPr>
        <w:t xml:space="preserve">2 </w:t>
      </w:r>
      <w:r>
        <w:rPr>
          <w:rFonts w:ascii="Open Sans" w:eastAsia="Open Sans" w:hAnsi="Open Sans" w:cs="Open Sans"/>
          <w:color w:val="000000"/>
        </w:rPr>
        <w:t>al mes, Bilbao con 16,53 €/m</w:t>
      </w:r>
      <w:r>
        <w:rPr>
          <w:rFonts w:ascii="Open Sans" w:eastAsia="Open Sans" w:hAnsi="Open Sans" w:cs="Open Sans"/>
          <w:color w:val="000000"/>
          <w:vertAlign w:val="superscript"/>
        </w:rPr>
        <w:t xml:space="preserve">2 </w:t>
      </w:r>
      <w:r>
        <w:rPr>
          <w:rFonts w:ascii="Open Sans" w:eastAsia="Open Sans" w:hAnsi="Open Sans" w:cs="Open Sans"/>
          <w:color w:val="000000"/>
        </w:rPr>
        <w:t>al mes, Málaga capital con 16,23 €/m</w:t>
      </w:r>
      <w:r>
        <w:rPr>
          <w:rFonts w:ascii="Open Sans" w:eastAsia="Open Sans" w:hAnsi="Open Sans" w:cs="Open Sans"/>
          <w:color w:val="000000"/>
          <w:vertAlign w:val="superscript"/>
        </w:rPr>
        <w:t xml:space="preserve">2 </w:t>
      </w:r>
      <w:r>
        <w:rPr>
          <w:rFonts w:ascii="Open Sans" w:eastAsia="Open Sans" w:hAnsi="Open Sans" w:cs="Open Sans"/>
          <w:color w:val="000000"/>
        </w:rPr>
        <w:t>al mes, Las Palmas de Gran Canaria con 15,75 €/m</w:t>
      </w:r>
      <w:r>
        <w:rPr>
          <w:rFonts w:ascii="Open Sans" w:eastAsia="Open Sans" w:hAnsi="Open Sans" w:cs="Open Sans"/>
          <w:color w:val="000000"/>
          <w:vertAlign w:val="superscript"/>
        </w:rPr>
        <w:t xml:space="preserve">2 </w:t>
      </w:r>
      <w:r>
        <w:rPr>
          <w:rFonts w:ascii="Open Sans" w:eastAsia="Open Sans" w:hAnsi="Open Sans" w:cs="Open Sans"/>
          <w:color w:val="000000"/>
        </w:rPr>
        <w:t>al mes y Girona capital con 15,23 €/m</w:t>
      </w:r>
      <w:r>
        <w:rPr>
          <w:rFonts w:ascii="Open Sans" w:eastAsia="Open Sans" w:hAnsi="Open Sans" w:cs="Open Sans"/>
          <w:color w:val="000000"/>
          <w:vertAlign w:val="superscript"/>
        </w:rPr>
        <w:t xml:space="preserve">2 </w:t>
      </w:r>
      <w:r>
        <w:rPr>
          <w:rFonts w:ascii="Open Sans" w:eastAsia="Open Sans" w:hAnsi="Open Sans" w:cs="Open Sans"/>
          <w:color w:val="000000"/>
        </w:rPr>
        <w:t>al mes. Por otro lado, las ciudades con el precio del alquiler por debajo de los 9,00 euros son: Jaén capital con 7,50 €/m</w:t>
      </w:r>
      <w:r>
        <w:rPr>
          <w:rFonts w:ascii="Open Sans" w:eastAsia="Open Sans" w:hAnsi="Open Sans" w:cs="Open Sans"/>
          <w:color w:val="000000"/>
          <w:vertAlign w:val="superscript"/>
        </w:rPr>
        <w:t xml:space="preserve">2 </w:t>
      </w:r>
      <w:r>
        <w:rPr>
          <w:rFonts w:ascii="Open Sans" w:eastAsia="Open Sans" w:hAnsi="Open Sans" w:cs="Open Sans"/>
          <w:color w:val="000000"/>
        </w:rPr>
        <w:t>al mes, Cáceres capital con 8,29 €/m</w:t>
      </w:r>
      <w:r>
        <w:rPr>
          <w:rFonts w:ascii="Open Sans" w:eastAsia="Open Sans" w:hAnsi="Open Sans" w:cs="Open Sans"/>
          <w:color w:val="000000"/>
          <w:vertAlign w:val="superscript"/>
        </w:rPr>
        <w:t xml:space="preserve">2 </w:t>
      </w:r>
      <w:r>
        <w:rPr>
          <w:rFonts w:ascii="Open Sans" w:eastAsia="Open Sans" w:hAnsi="Open Sans" w:cs="Open Sans"/>
          <w:color w:val="000000"/>
        </w:rPr>
        <w:t>al mes, Ávila capital</w:t>
      </w:r>
      <w:r>
        <w:rPr>
          <w:rFonts w:ascii="Open Sans" w:eastAsia="Open Sans" w:hAnsi="Open Sans" w:cs="Open Sans"/>
          <w:color w:val="000000"/>
        </w:rPr>
        <w:tab/>
        <w:t>con 8,52 €/m</w:t>
      </w:r>
      <w:r>
        <w:rPr>
          <w:rFonts w:ascii="Open Sans" w:eastAsia="Open Sans" w:hAnsi="Open Sans" w:cs="Open Sans"/>
          <w:color w:val="000000"/>
          <w:vertAlign w:val="superscript"/>
        </w:rPr>
        <w:t xml:space="preserve">2 </w:t>
      </w:r>
      <w:r>
        <w:rPr>
          <w:rFonts w:ascii="Open Sans" w:eastAsia="Open Sans" w:hAnsi="Open Sans" w:cs="Open Sans"/>
          <w:color w:val="000000"/>
        </w:rPr>
        <w:t>al mes, Ourense capital con 8,61 €/m</w:t>
      </w:r>
      <w:r>
        <w:rPr>
          <w:rFonts w:ascii="Open Sans" w:eastAsia="Open Sans" w:hAnsi="Open Sans" w:cs="Open Sans"/>
          <w:color w:val="000000"/>
          <w:vertAlign w:val="superscript"/>
        </w:rPr>
        <w:t xml:space="preserve">2 </w:t>
      </w:r>
      <w:r>
        <w:rPr>
          <w:rFonts w:ascii="Open Sans" w:eastAsia="Open Sans" w:hAnsi="Open Sans" w:cs="Open Sans"/>
          <w:color w:val="000000"/>
        </w:rPr>
        <w:t>al mes, Badajoz capital con 8,74 €/m</w:t>
      </w:r>
      <w:r>
        <w:rPr>
          <w:rFonts w:ascii="Open Sans" w:eastAsia="Open Sans" w:hAnsi="Open Sans" w:cs="Open Sans"/>
          <w:color w:val="000000"/>
          <w:vertAlign w:val="superscript"/>
        </w:rPr>
        <w:t xml:space="preserve">2 </w:t>
      </w:r>
      <w:r>
        <w:rPr>
          <w:rFonts w:ascii="Open Sans" w:eastAsia="Open Sans" w:hAnsi="Open Sans" w:cs="Open Sans"/>
          <w:color w:val="000000"/>
        </w:rPr>
        <w:t>al mes y Lugo capital con 8,78 €/m</w:t>
      </w:r>
      <w:r>
        <w:rPr>
          <w:rFonts w:ascii="Open Sans" w:eastAsia="Open Sans" w:hAnsi="Open Sans" w:cs="Open Sans"/>
          <w:color w:val="000000"/>
          <w:vertAlign w:val="superscript"/>
        </w:rPr>
        <w:t xml:space="preserve">2 </w:t>
      </w:r>
      <w:r>
        <w:rPr>
          <w:rFonts w:ascii="Open Sans" w:eastAsia="Open Sans" w:hAnsi="Open Sans" w:cs="Open Sans"/>
          <w:color w:val="000000"/>
        </w:rPr>
        <w:t>al mes.</w:t>
      </w:r>
    </w:p>
    <w:p w14:paraId="74456FF2" w14:textId="77777777" w:rsidR="006B0804" w:rsidRDefault="006B0804">
      <w:pPr>
        <w:spacing w:line="276" w:lineRule="auto"/>
        <w:ind w:right="-567"/>
        <w:jc w:val="both"/>
        <w:rPr>
          <w:rFonts w:ascii="Open Sans" w:eastAsia="Open Sans" w:hAnsi="Open Sans" w:cs="Open Sans"/>
          <w:color w:val="000000"/>
        </w:rPr>
      </w:pPr>
    </w:p>
    <w:p w14:paraId="1A17CF30" w14:textId="77777777" w:rsidR="000569D1" w:rsidRDefault="00000000">
      <w:pPr>
        <w:spacing w:line="276" w:lineRule="auto"/>
        <w:ind w:right="-567"/>
        <w:jc w:val="center"/>
        <w:rPr>
          <w:rFonts w:ascii="Open Sans Light" w:eastAsia="Open Sans Light" w:hAnsi="Open Sans Light" w:cs="Open Sans Light"/>
          <w:b/>
          <w:bCs/>
          <w:color w:val="303AB2"/>
          <w:sz w:val="28"/>
          <w:szCs w:val="28"/>
        </w:rPr>
      </w:pPr>
      <w:r>
        <w:rPr>
          <w:rFonts w:ascii="Open Sans Light" w:eastAsia="Open Sans Light" w:hAnsi="Open Sans Light" w:cs="Open Sans Light"/>
          <w:b/>
          <w:bCs/>
          <w:color w:val="303AB2"/>
          <w:sz w:val="28"/>
          <w:szCs w:val="28"/>
        </w:rPr>
        <w:t>Capitales de provincia con precio, variación mensual e interanual</w:t>
      </w:r>
    </w:p>
    <w:p w14:paraId="1E74343D" w14:textId="77777777" w:rsidR="000569D1" w:rsidRDefault="000569D1">
      <w:pPr>
        <w:spacing w:line="276" w:lineRule="auto"/>
        <w:ind w:right="-567"/>
        <w:jc w:val="both"/>
        <w:rPr>
          <w:rFonts w:ascii="Open Sans" w:eastAsia="Open Sans" w:hAnsi="Open Sans" w:cs="Open Sans"/>
          <w:color w:val="000000"/>
        </w:rPr>
      </w:pPr>
    </w:p>
    <w:tbl>
      <w:tblPr>
        <w:tblStyle w:val="a1"/>
        <w:tblW w:w="9063" w:type="dxa"/>
        <w:tblInd w:w="-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1701"/>
        <w:gridCol w:w="2268"/>
        <w:gridCol w:w="1843"/>
        <w:gridCol w:w="1559"/>
        <w:gridCol w:w="1692"/>
      </w:tblGrid>
      <w:tr w:rsidR="000569D1" w14:paraId="779D85E6" w14:textId="77777777" w:rsidTr="000569D1">
        <w:trPr>
          <w:cnfStyle w:val="100000000000" w:firstRow="1" w:lastRow="0" w:firstColumn="0" w:lastColumn="0" w:oddVBand="0" w:evenVBand="0" w:oddHBand="0" w:evenHBand="0" w:firstRowFirstColumn="0" w:firstRowLastColumn="0" w:lastRowFirstColumn="0" w:lastRowLastColumn="0"/>
          <w:trHeight w:val="618"/>
        </w:trPr>
        <w:tc>
          <w:tcPr>
            <w:cnfStyle w:val="001000000000" w:firstRow="0" w:lastRow="0" w:firstColumn="1" w:lastColumn="0" w:oddVBand="0" w:evenVBand="0" w:oddHBand="0" w:evenHBand="0" w:firstRowFirstColumn="0" w:firstRowLastColumn="0" w:lastRowFirstColumn="0" w:lastRowLastColumn="0"/>
            <w:tcW w:w="1701" w:type="dxa"/>
            <w:vAlign w:val="center"/>
          </w:tcPr>
          <w:p w14:paraId="6B04CCCB"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Provincia</w:t>
            </w:r>
          </w:p>
        </w:tc>
        <w:tc>
          <w:tcPr>
            <w:tcW w:w="2268" w:type="dxa"/>
            <w:vAlign w:val="center"/>
          </w:tcPr>
          <w:p w14:paraId="32317046" w14:textId="77777777" w:rsidR="000569D1" w:rsidRDefault="00000000">
            <w:pP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b w:val="0"/>
                <w:bCs w:val="0"/>
                <w:sz w:val="22"/>
                <w:szCs w:val="22"/>
              </w:rPr>
              <w:t>Municipio</w:t>
            </w:r>
          </w:p>
        </w:tc>
        <w:tc>
          <w:tcPr>
            <w:tcW w:w="1843" w:type="dxa"/>
            <w:vAlign w:val="center"/>
          </w:tcPr>
          <w:p w14:paraId="2DACEFE4" w14:textId="77777777" w:rsidR="000569D1" w:rsidRDefault="00000000">
            <w:pPr>
              <w:jc w:val="cente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b w:val="0"/>
                <w:bCs w:val="0"/>
                <w:sz w:val="22"/>
                <w:szCs w:val="22"/>
              </w:rPr>
              <w:t>Jul. 2026</w:t>
            </w:r>
          </w:p>
          <w:p w14:paraId="5E7BDC16" w14:textId="77777777" w:rsidR="000569D1" w:rsidRDefault="00000000">
            <w:pPr>
              <w:jc w:val="cente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b w:val="0"/>
                <w:bCs w:val="0"/>
                <w:sz w:val="22"/>
                <w:szCs w:val="22"/>
              </w:rPr>
              <w:t>(€/m² al mes)</w:t>
            </w:r>
          </w:p>
        </w:tc>
        <w:tc>
          <w:tcPr>
            <w:tcW w:w="1559" w:type="dxa"/>
            <w:vAlign w:val="center"/>
          </w:tcPr>
          <w:p w14:paraId="50B72529" w14:textId="77777777" w:rsidR="000569D1" w:rsidRDefault="00000000">
            <w:pPr>
              <w:jc w:val="cente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b w:val="0"/>
                <w:bCs w:val="0"/>
                <w:sz w:val="22"/>
                <w:szCs w:val="22"/>
              </w:rPr>
              <w:t>Variación mensual (%)</w:t>
            </w:r>
          </w:p>
        </w:tc>
        <w:tc>
          <w:tcPr>
            <w:tcW w:w="1692" w:type="dxa"/>
            <w:vAlign w:val="center"/>
          </w:tcPr>
          <w:p w14:paraId="1D1988B0" w14:textId="77777777" w:rsidR="000569D1" w:rsidRDefault="00000000">
            <w:pPr>
              <w:jc w:val="cente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b w:val="0"/>
                <w:bCs w:val="0"/>
                <w:sz w:val="22"/>
                <w:szCs w:val="22"/>
              </w:rPr>
              <w:t>Variación interanual (%)</w:t>
            </w:r>
          </w:p>
        </w:tc>
      </w:tr>
      <w:tr w:rsidR="000569D1" w14:paraId="32B9B40E" w14:textId="77777777" w:rsidTr="000569D1">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7126D112"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Guadalajara</w:t>
            </w:r>
          </w:p>
        </w:tc>
        <w:tc>
          <w:tcPr>
            <w:tcW w:w="2268" w:type="dxa"/>
            <w:vAlign w:val="bottom"/>
          </w:tcPr>
          <w:p w14:paraId="792F9DF1" w14:textId="77777777" w:rsidR="000569D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sz w:val="22"/>
                <w:szCs w:val="22"/>
              </w:rPr>
              <w:t>Guadalajara capital</w:t>
            </w:r>
          </w:p>
        </w:tc>
        <w:tc>
          <w:tcPr>
            <w:tcW w:w="1843" w:type="dxa"/>
            <w:vAlign w:val="bottom"/>
          </w:tcPr>
          <w:p w14:paraId="32CB10E0"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sz w:val="22"/>
                <w:szCs w:val="22"/>
              </w:rPr>
              <w:t>13,38 €</w:t>
            </w:r>
          </w:p>
        </w:tc>
        <w:tc>
          <w:tcPr>
            <w:tcW w:w="1559" w:type="dxa"/>
            <w:vAlign w:val="bottom"/>
          </w:tcPr>
          <w:p w14:paraId="335331A0"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sz w:val="22"/>
                <w:szCs w:val="22"/>
              </w:rPr>
              <w:t>4,7%</w:t>
            </w:r>
          </w:p>
        </w:tc>
        <w:tc>
          <w:tcPr>
            <w:tcW w:w="1692" w:type="dxa"/>
            <w:vAlign w:val="bottom"/>
          </w:tcPr>
          <w:p w14:paraId="19A38F35"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sz w:val="22"/>
                <w:szCs w:val="22"/>
              </w:rPr>
            </w:pPr>
            <w:r>
              <w:rPr>
                <w:rFonts w:ascii="Open Sans" w:eastAsia="Open Sans" w:hAnsi="Open Sans" w:cs="Open Sans"/>
                <w:b/>
                <w:bCs/>
                <w:sz w:val="22"/>
                <w:szCs w:val="22"/>
              </w:rPr>
              <w:t>32,0%</w:t>
            </w:r>
          </w:p>
        </w:tc>
      </w:tr>
      <w:tr w:rsidR="000569D1" w14:paraId="000583E5" w14:textId="77777777" w:rsidTr="000569D1">
        <w:trPr>
          <w:trHeight w:val="21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193D41B9"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Cuenca</w:t>
            </w:r>
          </w:p>
        </w:tc>
        <w:tc>
          <w:tcPr>
            <w:tcW w:w="2268" w:type="dxa"/>
            <w:vAlign w:val="bottom"/>
          </w:tcPr>
          <w:p w14:paraId="5E0F185E" w14:textId="77777777" w:rsidR="000569D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sz w:val="22"/>
                <w:szCs w:val="22"/>
              </w:rPr>
              <w:t>Cuenca capital</w:t>
            </w:r>
          </w:p>
        </w:tc>
        <w:tc>
          <w:tcPr>
            <w:tcW w:w="1843" w:type="dxa"/>
            <w:vAlign w:val="bottom"/>
          </w:tcPr>
          <w:p w14:paraId="0426B6E7"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sz w:val="22"/>
                <w:szCs w:val="22"/>
              </w:rPr>
              <w:t>9,36 €</w:t>
            </w:r>
          </w:p>
        </w:tc>
        <w:tc>
          <w:tcPr>
            <w:tcW w:w="1559" w:type="dxa"/>
            <w:vAlign w:val="bottom"/>
          </w:tcPr>
          <w:p w14:paraId="5C436CD8"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sz w:val="22"/>
                <w:szCs w:val="22"/>
              </w:rPr>
              <w:t>1,1%</w:t>
            </w:r>
          </w:p>
        </w:tc>
        <w:tc>
          <w:tcPr>
            <w:tcW w:w="1692" w:type="dxa"/>
            <w:vAlign w:val="bottom"/>
          </w:tcPr>
          <w:p w14:paraId="21B38BC3"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sz w:val="22"/>
                <w:szCs w:val="22"/>
              </w:rPr>
            </w:pPr>
            <w:r>
              <w:rPr>
                <w:rFonts w:ascii="Open Sans" w:eastAsia="Open Sans" w:hAnsi="Open Sans" w:cs="Open Sans"/>
                <w:b/>
                <w:bCs/>
                <w:sz w:val="22"/>
                <w:szCs w:val="22"/>
              </w:rPr>
              <w:t>27,7%</w:t>
            </w:r>
          </w:p>
        </w:tc>
      </w:tr>
      <w:tr w:rsidR="000569D1" w14:paraId="755D7B67" w14:textId="77777777" w:rsidTr="000569D1">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6EA1A9AD"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Zaragoza</w:t>
            </w:r>
          </w:p>
        </w:tc>
        <w:tc>
          <w:tcPr>
            <w:tcW w:w="2268" w:type="dxa"/>
            <w:vAlign w:val="bottom"/>
          </w:tcPr>
          <w:p w14:paraId="4AF7489C" w14:textId="77777777" w:rsidR="000569D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Zaragoza capital</w:t>
            </w:r>
          </w:p>
        </w:tc>
        <w:tc>
          <w:tcPr>
            <w:tcW w:w="1843" w:type="dxa"/>
            <w:vAlign w:val="bottom"/>
          </w:tcPr>
          <w:p w14:paraId="0BA96C8E"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13,65 €</w:t>
            </w:r>
          </w:p>
        </w:tc>
        <w:tc>
          <w:tcPr>
            <w:tcW w:w="1559" w:type="dxa"/>
            <w:vAlign w:val="bottom"/>
          </w:tcPr>
          <w:p w14:paraId="7DB63BEE"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1,4%</w:t>
            </w:r>
          </w:p>
        </w:tc>
        <w:tc>
          <w:tcPr>
            <w:tcW w:w="1692" w:type="dxa"/>
            <w:vAlign w:val="bottom"/>
          </w:tcPr>
          <w:p w14:paraId="53260A14"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sz w:val="22"/>
                <w:szCs w:val="22"/>
              </w:rPr>
              <w:t>14,8%</w:t>
            </w:r>
          </w:p>
        </w:tc>
      </w:tr>
      <w:tr w:rsidR="000569D1" w14:paraId="08988D30" w14:textId="77777777" w:rsidTr="000569D1">
        <w:trPr>
          <w:trHeight w:val="21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1E540BF7"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Huelva</w:t>
            </w:r>
          </w:p>
        </w:tc>
        <w:tc>
          <w:tcPr>
            <w:tcW w:w="2268" w:type="dxa"/>
            <w:vAlign w:val="bottom"/>
          </w:tcPr>
          <w:p w14:paraId="195BCBCA" w14:textId="77777777" w:rsidR="000569D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Huelva capital</w:t>
            </w:r>
          </w:p>
        </w:tc>
        <w:tc>
          <w:tcPr>
            <w:tcW w:w="1843" w:type="dxa"/>
            <w:vAlign w:val="bottom"/>
          </w:tcPr>
          <w:p w14:paraId="71A5BBAD"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10,37 €</w:t>
            </w:r>
          </w:p>
        </w:tc>
        <w:tc>
          <w:tcPr>
            <w:tcW w:w="1559" w:type="dxa"/>
            <w:vAlign w:val="bottom"/>
          </w:tcPr>
          <w:p w14:paraId="7E1DDDFF"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-7,0%</w:t>
            </w:r>
          </w:p>
        </w:tc>
        <w:tc>
          <w:tcPr>
            <w:tcW w:w="1692" w:type="dxa"/>
            <w:vAlign w:val="bottom"/>
          </w:tcPr>
          <w:p w14:paraId="5ADA6D1B"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sz w:val="22"/>
                <w:szCs w:val="22"/>
              </w:rPr>
              <w:t>14,0%</w:t>
            </w:r>
          </w:p>
        </w:tc>
      </w:tr>
      <w:tr w:rsidR="000569D1" w14:paraId="2022B834" w14:textId="77777777" w:rsidTr="000569D1">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5F6D1EE3"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Palencia</w:t>
            </w:r>
          </w:p>
        </w:tc>
        <w:tc>
          <w:tcPr>
            <w:tcW w:w="2268" w:type="dxa"/>
            <w:vAlign w:val="bottom"/>
          </w:tcPr>
          <w:p w14:paraId="7846C9FF" w14:textId="77777777" w:rsidR="000569D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Palencia capital</w:t>
            </w:r>
          </w:p>
        </w:tc>
        <w:tc>
          <w:tcPr>
            <w:tcW w:w="1843" w:type="dxa"/>
            <w:vAlign w:val="bottom"/>
          </w:tcPr>
          <w:p w14:paraId="4EC02C2E"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9,92 €</w:t>
            </w:r>
          </w:p>
        </w:tc>
        <w:tc>
          <w:tcPr>
            <w:tcW w:w="1559" w:type="dxa"/>
            <w:vAlign w:val="bottom"/>
          </w:tcPr>
          <w:p w14:paraId="3D6BB3F5"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8,9%</w:t>
            </w:r>
          </w:p>
        </w:tc>
        <w:tc>
          <w:tcPr>
            <w:tcW w:w="1692" w:type="dxa"/>
            <w:vAlign w:val="bottom"/>
          </w:tcPr>
          <w:p w14:paraId="67E39046"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sz w:val="22"/>
                <w:szCs w:val="22"/>
              </w:rPr>
              <w:t>13,8%</w:t>
            </w:r>
          </w:p>
        </w:tc>
      </w:tr>
      <w:tr w:rsidR="000569D1" w14:paraId="05946119" w14:textId="77777777" w:rsidTr="000569D1">
        <w:trPr>
          <w:trHeight w:val="21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6F017682"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Navarra</w:t>
            </w:r>
          </w:p>
        </w:tc>
        <w:tc>
          <w:tcPr>
            <w:tcW w:w="2268" w:type="dxa"/>
            <w:vAlign w:val="bottom"/>
          </w:tcPr>
          <w:p w14:paraId="262C4E57" w14:textId="77777777" w:rsidR="000569D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Pamplona / Iruña</w:t>
            </w:r>
          </w:p>
        </w:tc>
        <w:tc>
          <w:tcPr>
            <w:tcW w:w="1843" w:type="dxa"/>
            <w:vAlign w:val="bottom"/>
          </w:tcPr>
          <w:p w14:paraId="0CC635DA"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14,03 €</w:t>
            </w:r>
          </w:p>
        </w:tc>
        <w:tc>
          <w:tcPr>
            <w:tcW w:w="1559" w:type="dxa"/>
            <w:vAlign w:val="bottom"/>
          </w:tcPr>
          <w:p w14:paraId="2B0CA24C"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4,6%</w:t>
            </w:r>
          </w:p>
        </w:tc>
        <w:tc>
          <w:tcPr>
            <w:tcW w:w="1692" w:type="dxa"/>
            <w:vAlign w:val="bottom"/>
          </w:tcPr>
          <w:p w14:paraId="1EBAF6A2"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sz w:val="22"/>
                <w:szCs w:val="22"/>
              </w:rPr>
              <w:t>12,9%</w:t>
            </w:r>
          </w:p>
        </w:tc>
      </w:tr>
      <w:tr w:rsidR="000569D1" w14:paraId="5333BA98" w14:textId="77777777" w:rsidTr="000569D1">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285DB10F"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Ciudad Real</w:t>
            </w:r>
          </w:p>
        </w:tc>
        <w:tc>
          <w:tcPr>
            <w:tcW w:w="2268" w:type="dxa"/>
            <w:vAlign w:val="bottom"/>
          </w:tcPr>
          <w:p w14:paraId="2D5E5009" w14:textId="77777777" w:rsidR="000569D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Ciudad Real capital</w:t>
            </w:r>
          </w:p>
        </w:tc>
        <w:tc>
          <w:tcPr>
            <w:tcW w:w="1843" w:type="dxa"/>
            <w:vAlign w:val="bottom"/>
          </w:tcPr>
          <w:p w14:paraId="16313CF8"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9,04 €</w:t>
            </w:r>
          </w:p>
        </w:tc>
        <w:tc>
          <w:tcPr>
            <w:tcW w:w="1559" w:type="dxa"/>
            <w:vAlign w:val="bottom"/>
          </w:tcPr>
          <w:p w14:paraId="79FCA572"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-2,0%</w:t>
            </w:r>
          </w:p>
        </w:tc>
        <w:tc>
          <w:tcPr>
            <w:tcW w:w="1692" w:type="dxa"/>
            <w:vAlign w:val="bottom"/>
          </w:tcPr>
          <w:p w14:paraId="6C63FED2"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sz w:val="22"/>
                <w:szCs w:val="22"/>
              </w:rPr>
              <w:t>12,3%</w:t>
            </w:r>
          </w:p>
        </w:tc>
      </w:tr>
      <w:tr w:rsidR="000569D1" w14:paraId="2EF4C8A5" w14:textId="77777777" w:rsidTr="000569D1">
        <w:trPr>
          <w:trHeight w:val="21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028A4040"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Burgos</w:t>
            </w:r>
          </w:p>
        </w:tc>
        <w:tc>
          <w:tcPr>
            <w:tcW w:w="2268" w:type="dxa"/>
            <w:vAlign w:val="bottom"/>
          </w:tcPr>
          <w:p w14:paraId="0CCF815D" w14:textId="77777777" w:rsidR="000569D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Burgos capital</w:t>
            </w:r>
          </w:p>
        </w:tc>
        <w:tc>
          <w:tcPr>
            <w:tcW w:w="1843" w:type="dxa"/>
            <w:vAlign w:val="bottom"/>
          </w:tcPr>
          <w:p w14:paraId="0FA2836A"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12,02 €</w:t>
            </w:r>
          </w:p>
        </w:tc>
        <w:tc>
          <w:tcPr>
            <w:tcW w:w="1559" w:type="dxa"/>
            <w:vAlign w:val="bottom"/>
          </w:tcPr>
          <w:p w14:paraId="68982D92"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3,5%</w:t>
            </w:r>
          </w:p>
        </w:tc>
        <w:tc>
          <w:tcPr>
            <w:tcW w:w="1692" w:type="dxa"/>
            <w:vAlign w:val="bottom"/>
          </w:tcPr>
          <w:p w14:paraId="31193436"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sz w:val="22"/>
                <w:szCs w:val="22"/>
              </w:rPr>
              <w:t>12,2%</w:t>
            </w:r>
          </w:p>
        </w:tc>
      </w:tr>
      <w:tr w:rsidR="000569D1" w14:paraId="20B036BE" w14:textId="77777777" w:rsidTr="000569D1">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7FC23149"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Pontevedra</w:t>
            </w:r>
          </w:p>
        </w:tc>
        <w:tc>
          <w:tcPr>
            <w:tcW w:w="2268" w:type="dxa"/>
            <w:vAlign w:val="bottom"/>
          </w:tcPr>
          <w:p w14:paraId="57E9CB6F" w14:textId="77777777" w:rsidR="000569D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Pontevedra capital</w:t>
            </w:r>
          </w:p>
        </w:tc>
        <w:tc>
          <w:tcPr>
            <w:tcW w:w="1843" w:type="dxa"/>
            <w:vAlign w:val="bottom"/>
          </w:tcPr>
          <w:p w14:paraId="3F2E3C5D"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10,05 €</w:t>
            </w:r>
          </w:p>
        </w:tc>
        <w:tc>
          <w:tcPr>
            <w:tcW w:w="1559" w:type="dxa"/>
            <w:vAlign w:val="bottom"/>
          </w:tcPr>
          <w:p w14:paraId="6BCE89DC"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-4,0%</w:t>
            </w:r>
          </w:p>
        </w:tc>
        <w:tc>
          <w:tcPr>
            <w:tcW w:w="1692" w:type="dxa"/>
            <w:vAlign w:val="bottom"/>
          </w:tcPr>
          <w:p w14:paraId="6D8BA119"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sz w:val="22"/>
                <w:szCs w:val="22"/>
              </w:rPr>
              <w:t>11,8%</w:t>
            </w:r>
          </w:p>
        </w:tc>
      </w:tr>
      <w:tr w:rsidR="000569D1" w14:paraId="4057F2DA" w14:textId="77777777" w:rsidTr="000569D1">
        <w:trPr>
          <w:trHeight w:val="21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2330D7D7"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Badajoz</w:t>
            </w:r>
          </w:p>
        </w:tc>
        <w:tc>
          <w:tcPr>
            <w:tcW w:w="2268" w:type="dxa"/>
            <w:vAlign w:val="bottom"/>
          </w:tcPr>
          <w:p w14:paraId="23D50B27" w14:textId="77777777" w:rsidR="000569D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Badajoz capital</w:t>
            </w:r>
          </w:p>
        </w:tc>
        <w:tc>
          <w:tcPr>
            <w:tcW w:w="1843" w:type="dxa"/>
            <w:vAlign w:val="bottom"/>
          </w:tcPr>
          <w:p w14:paraId="3F19ABEA"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8,74 €</w:t>
            </w:r>
          </w:p>
        </w:tc>
        <w:tc>
          <w:tcPr>
            <w:tcW w:w="1559" w:type="dxa"/>
            <w:vAlign w:val="bottom"/>
          </w:tcPr>
          <w:p w14:paraId="56E4F431"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-1,5%</w:t>
            </w:r>
          </w:p>
        </w:tc>
        <w:tc>
          <w:tcPr>
            <w:tcW w:w="1692" w:type="dxa"/>
            <w:vAlign w:val="bottom"/>
          </w:tcPr>
          <w:p w14:paraId="2878E0E1"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sz w:val="22"/>
                <w:szCs w:val="22"/>
              </w:rPr>
              <w:t>11,5%</w:t>
            </w:r>
          </w:p>
        </w:tc>
      </w:tr>
      <w:tr w:rsidR="000569D1" w14:paraId="06F6A254" w14:textId="77777777" w:rsidTr="000569D1">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090C6A3E"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Cantabria</w:t>
            </w:r>
          </w:p>
        </w:tc>
        <w:tc>
          <w:tcPr>
            <w:tcW w:w="2268" w:type="dxa"/>
            <w:vAlign w:val="bottom"/>
          </w:tcPr>
          <w:p w14:paraId="3C548638" w14:textId="77777777" w:rsidR="000569D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Santander</w:t>
            </w:r>
          </w:p>
        </w:tc>
        <w:tc>
          <w:tcPr>
            <w:tcW w:w="1843" w:type="dxa"/>
            <w:vAlign w:val="bottom"/>
          </w:tcPr>
          <w:p w14:paraId="11ADE6F1"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13,68 €</w:t>
            </w:r>
          </w:p>
        </w:tc>
        <w:tc>
          <w:tcPr>
            <w:tcW w:w="1559" w:type="dxa"/>
            <w:vAlign w:val="bottom"/>
          </w:tcPr>
          <w:p w14:paraId="578161CC"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1,7%</w:t>
            </w:r>
          </w:p>
        </w:tc>
        <w:tc>
          <w:tcPr>
            <w:tcW w:w="1692" w:type="dxa"/>
            <w:vAlign w:val="bottom"/>
          </w:tcPr>
          <w:p w14:paraId="1991BC6F"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sz w:val="22"/>
                <w:szCs w:val="22"/>
              </w:rPr>
              <w:t>9,7%</w:t>
            </w:r>
          </w:p>
        </w:tc>
      </w:tr>
      <w:tr w:rsidR="000569D1" w14:paraId="0671A65A" w14:textId="77777777" w:rsidTr="000569D1">
        <w:trPr>
          <w:trHeight w:val="21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3EBE263D"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Asturias</w:t>
            </w:r>
          </w:p>
        </w:tc>
        <w:tc>
          <w:tcPr>
            <w:tcW w:w="2268" w:type="dxa"/>
            <w:vAlign w:val="bottom"/>
          </w:tcPr>
          <w:p w14:paraId="1FCDD511" w14:textId="77777777" w:rsidR="000569D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Oviedo</w:t>
            </w:r>
          </w:p>
        </w:tc>
        <w:tc>
          <w:tcPr>
            <w:tcW w:w="1843" w:type="dxa"/>
            <w:vAlign w:val="bottom"/>
          </w:tcPr>
          <w:p w14:paraId="3673BE06"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12,44 €</w:t>
            </w:r>
          </w:p>
        </w:tc>
        <w:tc>
          <w:tcPr>
            <w:tcW w:w="1559" w:type="dxa"/>
            <w:vAlign w:val="bottom"/>
          </w:tcPr>
          <w:p w14:paraId="114DC5A6"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0,6%</w:t>
            </w:r>
          </w:p>
        </w:tc>
        <w:tc>
          <w:tcPr>
            <w:tcW w:w="1692" w:type="dxa"/>
            <w:vAlign w:val="bottom"/>
          </w:tcPr>
          <w:p w14:paraId="6FA42022"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sz w:val="22"/>
                <w:szCs w:val="22"/>
              </w:rPr>
              <w:t>8,6%</w:t>
            </w:r>
          </w:p>
        </w:tc>
      </w:tr>
      <w:tr w:rsidR="000569D1" w14:paraId="67F50894" w14:textId="77777777" w:rsidTr="000569D1">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510770AF"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lastRenderedPageBreak/>
              <w:t>Lugo</w:t>
            </w:r>
          </w:p>
        </w:tc>
        <w:tc>
          <w:tcPr>
            <w:tcW w:w="2268" w:type="dxa"/>
            <w:vAlign w:val="bottom"/>
          </w:tcPr>
          <w:p w14:paraId="257AC6F0" w14:textId="77777777" w:rsidR="000569D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Lugo capital</w:t>
            </w:r>
          </w:p>
        </w:tc>
        <w:tc>
          <w:tcPr>
            <w:tcW w:w="1843" w:type="dxa"/>
            <w:vAlign w:val="bottom"/>
          </w:tcPr>
          <w:p w14:paraId="722EA519"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8,78 €</w:t>
            </w:r>
          </w:p>
        </w:tc>
        <w:tc>
          <w:tcPr>
            <w:tcW w:w="1559" w:type="dxa"/>
            <w:vAlign w:val="bottom"/>
          </w:tcPr>
          <w:p w14:paraId="0280ADF7"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-0,8%</w:t>
            </w:r>
          </w:p>
        </w:tc>
        <w:tc>
          <w:tcPr>
            <w:tcW w:w="1692" w:type="dxa"/>
            <w:vAlign w:val="bottom"/>
          </w:tcPr>
          <w:p w14:paraId="1D9E9634"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sz w:val="22"/>
                <w:szCs w:val="22"/>
              </w:rPr>
              <w:t>8,1%</w:t>
            </w:r>
          </w:p>
        </w:tc>
      </w:tr>
      <w:tr w:rsidR="000569D1" w14:paraId="157AA2E2" w14:textId="77777777" w:rsidTr="000569D1">
        <w:trPr>
          <w:trHeight w:val="21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3E5715BE"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Castellón</w:t>
            </w:r>
          </w:p>
        </w:tc>
        <w:tc>
          <w:tcPr>
            <w:tcW w:w="2268" w:type="dxa"/>
            <w:vAlign w:val="bottom"/>
          </w:tcPr>
          <w:p w14:paraId="2DE9FD28" w14:textId="77777777" w:rsidR="000569D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Castellón de la Plana / Castelló de la Plana</w:t>
            </w:r>
          </w:p>
        </w:tc>
        <w:tc>
          <w:tcPr>
            <w:tcW w:w="1843" w:type="dxa"/>
            <w:vAlign w:val="bottom"/>
          </w:tcPr>
          <w:p w14:paraId="04A1A6ED"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10,16 €</w:t>
            </w:r>
          </w:p>
        </w:tc>
        <w:tc>
          <w:tcPr>
            <w:tcW w:w="1559" w:type="dxa"/>
            <w:vAlign w:val="bottom"/>
          </w:tcPr>
          <w:p w14:paraId="488D78D6"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-0,9%</w:t>
            </w:r>
          </w:p>
        </w:tc>
        <w:tc>
          <w:tcPr>
            <w:tcW w:w="1692" w:type="dxa"/>
            <w:vAlign w:val="bottom"/>
          </w:tcPr>
          <w:p w14:paraId="7661800E"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sz w:val="22"/>
                <w:szCs w:val="22"/>
              </w:rPr>
              <w:t>7,7%</w:t>
            </w:r>
          </w:p>
        </w:tc>
      </w:tr>
      <w:tr w:rsidR="000569D1" w14:paraId="4F907726" w14:textId="77777777" w:rsidTr="000569D1">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1CC76D14"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Albacete</w:t>
            </w:r>
          </w:p>
        </w:tc>
        <w:tc>
          <w:tcPr>
            <w:tcW w:w="2268" w:type="dxa"/>
            <w:vAlign w:val="bottom"/>
          </w:tcPr>
          <w:p w14:paraId="29B05BDA" w14:textId="77777777" w:rsidR="000569D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Albacete capital</w:t>
            </w:r>
          </w:p>
        </w:tc>
        <w:tc>
          <w:tcPr>
            <w:tcW w:w="1843" w:type="dxa"/>
            <w:vAlign w:val="bottom"/>
          </w:tcPr>
          <w:p w14:paraId="6DC08DE3"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9,28 €</w:t>
            </w:r>
          </w:p>
        </w:tc>
        <w:tc>
          <w:tcPr>
            <w:tcW w:w="1559" w:type="dxa"/>
            <w:vAlign w:val="bottom"/>
          </w:tcPr>
          <w:p w14:paraId="0F10398D"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0,0%</w:t>
            </w:r>
          </w:p>
        </w:tc>
        <w:tc>
          <w:tcPr>
            <w:tcW w:w="1692" w:type="dxa"/>
            <w:vAlign w:val="bottom"/>
          </w:tcPr>
          <w:p w14:paraId="7C7C81E7"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sz w:val="22"/>
                <w:szCs w:val="22"/>
              </w:rPr>
              <w:t>7,5%</w:t>
            </w:r>
          </w:p>
        </w:tc>
      </w:tr>
      <w:tr w:rsidR="000569D1" w14:paraId="1C2C9C4F" w14:textId="77777777" w:rsidTr="000569D1">
        <w:trPr>
          <w:trHeight w:val="21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7437CCEF"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León</w:t>
            </w:r>
          </w:p>
        </w:tc>
        <w:tc>
          <w:tcPr>
            <w:tcW w:w="2268" w:type="dxa"/>
            <w:vAlign w:val="bottom"/>
          </w:tcPr>
          <w:p w14:paraId="1BBDEEC1" w14:textId="77777777" w:rsidR="000569D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León capital</w:t>
            </w:r>
          </w:p>
        </w:tc>
        <w:tc>
          <w:tcPr>
            <w:tcW w:w="1843" w:type="dxa"/>
            <w:vAlign w:val="bottom"/>
          </w:tcPr>
          <w:p w14:paraId="607D1463"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9,81 €</w:t>
            </w:r>
          </w:p>
        </w:tc>
        <w:tc>
          <w:tcPr>
            <w:tcW w:w="1559" w:type="dxa"/>
            <w:vAlign w:val="bottom"/>
          </w:tcPr>
          <w:p w14:paraId="39841599"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-0,4%</w:t>
            </w:r>
          </w:p>
        </w:tc>
        <w:tc>
          <w:tcPr>
            <w:tcW w:w="1692" w:type="dxa"/>
            <w:vAlign w:val="bottom"/>
          </w:tcPr>
          <w:p w14:paraId="1B3D5D2F"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sz w:val="22"/>
                <w:szCs w:val="22"/>
              </w:rPr>
              <w:t>7,0%</w:t>
            </w:r>
          </w:p>
        </w:tc>
      </w:tr>
      <w:tr w:rsidR="000569D1" w14:paraId="169C6035" w14:textId="77777777" w:rsidTr="000569D1">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76753A11"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Soria</w:t>
            </w:r>
          </w:p>
        </w:tc>
        <w:tc>
          <w:tcPr>
            <w:tcW w:w="2268" w:type="dxa"/>
            <w:vAlign w:val="bottom"/>
          </w:tcPr>
          <w:p w14:paraId="0A41A74C" w14:textId="77777777" w:rsidR="000569D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Soria capital</w:t>
            </w:r>
          </w:p>
        </w:tc>
        <w:tc>
          <w:tcPr>
            <w:tcW w:w="1843" w:type="dxa"/>
            <w:vAlign w:val="bottom"/>
          </w:tcPr>
          <w:p w14:paraId="13BBD1AC"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9,38 €</w:t>
            </w:r>
          </w:p>
        </w:tc>
        <w:tc>
          <w:tcPr>
            <w:tcW w:w="1559" w:type="dxa"/>
            <w:vAlign w:val="bottom"/>
          </w:tcPr>
          <w:p w14:paraId="27677CC4" w14:textId="77777777" w:rsidR="000569D1" w:rsidRDefault="000569D1">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p>
        </w:tc>
        <w:tc>
          <w:tcPr>
            <w:tcW w:w="1692" w:type="dxa"/>
            <w:vAlign w:val="bottom"/>
          </w:tcPr>
          <w:p w14:paraId="482A3768"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sz w:val="22"/>
                <w:szCs w:val="22"/>
              </w:rPr>
              <w:t>6,8%</w:t>
            </w:r>
          </w:p>
        </w:tc>
      </w:tr>
      <w:tr w:rsidR="000569D1" w14:paraId="3C114C61" w14:textId="77777777" w:rsidTr="000569D1">
        <w:trPr>
          <w:trHeight w:val="21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0823996A"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Segovia</w:t>
            </w:r>
          </w:p>
        </w:tc>
        <w:tc>
          <w:tcPr>
            <w:tcW w:w="2268" w:type="dxa"/>
            <w:vAlign w:val="bottom"/>
          </w:tcPr>
          <w:p w14:paraId="58C127E9" w14:textId="77777777" w:rsidR="000569D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Segovia capital</w:t>
            </w:r>
          </w:p>
        </w:tc>
        <w:tc>
          <w:tcPr>
            <w:tcW w:w="1843" w:type="dxa"/>
            <w:vAlign w:val="bottom"/>
          </w:tcPr>
          <w:p w14:paraId="0524FC86"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13,28 €</w:t>
            </w:r>
          </w:p>
        </w:tc>
        <w:tc>
          <w:tcPr>
            <w:tcW w:w="1559" w:type="dxa"/>
            <w:vAlign w:val="bottom"/>
          </w:tcPr>
          <w:p w14:paraId="76F86337"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-2,2%</w:t>
            </w:r>
          </w:p>
        </w:tc>
        <w:tc>
          <w:tcPr>
            <w:tcW w:w="1692" w:type="dxa"/>
            <w:vAlign w:val="bottom"/>
          </w:tcPr>
          <w:p w14:paraId="32031A36"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sz w:val="22"/>
                <w:szCs w:val="22"/>
              </w:rPr>
              <w:t>6,2%</w:t>
            </w:r>
          </w:p>
        </w:tc>
      </w:tr>
      <w:tr w:rsidR="000569D1" w14:paraId="0072EF4E" w14:textId="77777777" w:rsidTr="000569D1">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7EABF901"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Araba - Álava</w:t>
            </w:r>
          </w:p>
        </w:tc>
        <w:tc>
          <w:tcPr>
            <w:tcW w:w="2268" w:type="dxa"/>
            <w:vAlign w:val="bottom"/>
          </w:tcPr>
          <w:p w14:paraId="267C9E6A" w14:textId="77777777" w:rsidR="000569D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Vitoria - Gasteiz</w:t>
            </w:r>
          </w:p>
        </w:tc>
        <w:tc>
          <w:tcPr>
            <w:tcW w:w="1843" w:type="dxa"/>
            <w:vAlign w:val="bottom"/>
          </w:tcPr>
          <w:p w14:paraId="15D61683"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14,92 €</w:t>
            </w:r>
          </w:p>
        </w:tc>
        <w:tc>
          <w:tcPr>
            <w:tcW w:w="1559" w:type="dxa"/>
            <w:vAlign w:val="bottom"/>
          </w:tcPr>
          <w:p w14:paraId="512A5670"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3,0%</w:t>
            </w:r>
          </w:p>
        </w:tc>
        <w:tc>
          <w:tcPr>
            <w:tcW w:w="1692" w:type="dxa"/>
            <w:vAlign w:val="bottom"/>
          </w:tcPr>
          <w:p w14:paraId="6042DF07"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sz w:val="22"/>
                <w:szCs w:val="22"/>
              </w:rPr>
              <w:t>6,1%</w:t>
            </w:r>
          </w:p>
        </w:tc>
      </w:tr>
      <w:tr w:rsidR="000569D1" w14:paraId="6098AE0A" w14:textId="77777777" w:rsidTr="000569D1">
        <w:trPr>
          <w:trHeight w:val="21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54533C0E"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Salamanca</w:t>
            </w:r>
          </w:p>
        </w:tc>
        <w:tc>
          <w:tcPr>
            <w:tcW w:w="2268" w:type="dxa"/>
            <w:vAlign w:val="bottom"/>
          </w:tcPr>
          <w:p w14:paraId="1833D22F" w14:textId="77777777" w:rsidR="000569D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Salamanca capital</w:t>
            </w:r>
          </w:p>
        </w:tc>
        <w:tc>
          <w:tcPr>
            <w:tcW w:w="1843" w:type="dxa"/>
            <w:vAlign w:val="bottom"/>
          </w:tcPr>
          <w:p w14:paraId="17132600"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10,79 €</w:t>
            </w:r>
          </w:p>
        </w:tc>
        <w:tc>
          <w:tcPr>
            <w:tcW w:w="1559" w:type="dxa"/>
            <w:vAlign w:val="bottom"/>
          </w:tcPr>
          <w:p w14:paraId="54A58812"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-0,3%</w:t>
            </w:r>
          </w:p>
        </w:tc>
        <w:tc>
          <w:tcPr>
            <w:tcW w:w="1692" w:type="dxa"/>
            <w:vAlign w:val="bottom"/>
          </w:tcPr>
          <w:p w14:paraId="6D61EB9C"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sz w:val="22"/>
                <w:szCs w:val="22"/>
              </w:rPr>
              <w:t>5,8%</w:t>
            </w:r>
          </w:p>
        </w:tc>
      </w:tr>
      <w:tr w:rsidR="000569D1" w14:paraId="2F65CD29" w14:textId="77777777" w:rsidTr="000569D1">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5C59A4E6"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Girona</w:t>
            </w:r>
          </w:p>
        </w:tc>
        <w:tc>
          <w:tcPr>
            <w:tcW w:w="2268" w:type="dxa"/>
            <w:vAlign w:val="bottom"/>
          </w:tcPr>
          <w:p w14:paraId="761801A4" w14:textId="77777777" w:rsidR="000569D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Girona capital</w:t>
            </w:r>
          </w:p>
        </w:tc>
        <w:tc>
          <w:tcPr>
            <w:tcW w:w="1843" w:type="dxa"/>
            <w:vAlign w:val="bottom"/>
          </w:tcPr>
          <w:p w14:paraId="1203D49C"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15,23 €</w:t>
            </w:r>
          </w:p>
        </w:tc>
        <w:tc>
          <w:tcPr>
            <w:tcW w:w="1559" w:type="dxa"/>
            <w:vAlign w:val="bottom"/>
          </w:tcPr>
          <w:p w14:paraId="38002B08"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-0,3%</w:t>
            </w:r>
          </w:p>
        </w:tc>
        <w:tc>
          <w:tcPr>
            <w:tcW w:w="1692" w:type="dxa"/>
            <w:vAlign w:val="bottom"/>
          </w:tcPr>
          <w:p w14:paraId="797F9AE2"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sz w:val="22"/>
                <w:szCs w:val="22"/>
              </w:rPr>
              <w:t>5,8%</w:t>
            </w:r>
          </w:p>
        </w:tc>
      </w:tr>
      <w:tr w:rsidR="000569D1" w14:paraId="7D887C47" w14:textId="77777777" w:rsidTr="000569D1">
        <w:trPr>
          <w:trHeight w:val="21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6F7C5783"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Almería</w:t>
            </w:r>
          </w:p>
        </w:tc>
        <w:tc>
          <w:tcPr>
            <w:tcW w:w="2268" w:type="dxa"/>
            <w:vAlign w:val="bottom"/>
          </w:tcPr>
          <w:p w14:paraId="10363095" w14:textId="77777777" w:rsidR="000569D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Almería capital</w:t>
            </w:r>
          </w:p>
        </w:tc>
        <w:tc>
          <w:tcPr>
            <w:tcW w:w="1843" w:type="dxa"/>
            <w:vAlign w:val="bottom"/>
          </w:tcPr>
          <w:p w14:paraId="09F27E80"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9,77 €</w:t>
            </w:r>
          </w:p>
        </w:tc>
        <w:tc>
          <w:tcPr>
            <w:tcW w:w="1559" w:type="dxa"/>
            <w:vAlign w:val="bottom"/>
          </w:tcPr>
          <w:p w14:paraId="36EBBB15"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0,5%</w:t>
            </w:r>
          </w:p>
        </w:tc>
        <w:tc>
          <w:tcPr>
            <w:tcW w:w="1692" w:type="dxa"/>
            <w:vAlign w:val="bottom"/>
          </w:tcPr>
          <w:p w14:paraId="0C74F284"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sz w:val="22"/>
                <w:szCs w:val="22"/>
              </w:rPr>
              <w:t>4,6%</w:t>
            </w:r>
          </w:p>
        </w:tc>
      </w:tr>
      <w:tr w:rsidR="000569D1" w14:paraId="485A66AB" w14:textId="77777777" w:rsidTr="000569D1">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7814B72F"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Ourense</w:t>
            </w:r>
          </w:p>
        </w:tc>
        <w:tc>
          <w:tcPr>
            <w:tcW w:w="2268" w:type="dxa"/>
            <w:vAlign w:val="bottom"/>
          </w:tcPr>
          <w:p w14:paraId="4DC48EF8" w14:textId="77777777" w:rsidR="000569D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Ourense capital</w:t>
            </w:r>
          </w:p>
        </w:tc>
        <w:tc>
          <w:tcPr>
            <w:tcW w:w="1843" w:type="dxa"/>
            <w:vAlign w:val="bottom"/>
          </w:tcPr>
          <w:p w14:paraId="08AD948B"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8,61 €</w:t>
            </w:r>
          </w:p>
        </w:tc>
        <w:tc>
          <w:tcPr>
            <w:tcW w:w="1559" w:type="dxa"/>
            <w:vAlign w:val="bottom"/>
          </w:tcPr>
          <w:p w14:paraId="062840D0"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1,1%</w:t>
            </w:r>
          </w:p>
        </w:tc>
        <w:tc>
          <w:tcPr>
            <w:tcW w:w="1692" w:type="dxa"/>
            <w:vAlign w:val="bottom"/>
          </w:tcPr>
          <w:p w14:paraId="514B1466"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sz w:val="22"/>
                <w:szCs w:val="22"/>
              </w:rPr>
              <w:t>4,0%</w:t>
            </w:r>
          </w:p>
        </w:tc>
      </w:tr>
      <w:tr w:rsidR="000569D1" w14:paraId="2FFBE426" w14:textId="77777777" w:rsidTr="000569D1">
        <w:trPr>
          <w:trHeight w:val="21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4F219140"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Cádiz</w:t>
            </w:r>
          </w:p>
        </w:tc>
        <w:tc>
          <w:tcPr>
            <w:tcW w:w="2268" w:type="dxa"/>
            <w:vAlign w:val="bottom"/>
          </w:tcPr>
          <w:p w14:paraId="55CE2A00" w14:textId="77777777" w:rsidR="000569D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Cádiz capital</w:t>
            </w:r>
          </w:p>
        </w:tc>
        <w:tc>
          <w:tcPr>
            <w:tcW w:w="1843" w:type="dxa"/>
            <w:vAlign w:val="bottom"/>
          </w:tcPr>
          <w:p w14:paraId="612E3576"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13,04 €</w:t>
            </w:r>
          </w:p>
        </w:tc>
        <w:tc>
          <w:tcPr>
            <w:tcW w:w="1559" w:type="dxa"/>
            <w:vAlign w:val="bottom"/>
          </w:tcPr>
          <w:p w14:paraId="44C5EC8C"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2,7%</w:t>
            </w:r>
          </w:p>
        </w:tc>
        <w:tc>
          <w:tcPr>
            <w:tcW w:w="1692" w:type="dxa"/>
            <w:vAlign w:val="bottom"/>
          </w:tcPr>
          <w:p w14:paraId="78109A49"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sz w:val="22"/>
                <w:szCs w:val="22"/>
              </w:rPr>
              <w:t>3,9%</w:t>
            </w:r>
          </w:p>
        </w:tc>
      </w:tr>
      <w:tr w:rsidR="000569D1" w14:paraId="61F54F5B" w14:textId="77777777" w:rsidTr="000569D1">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6D6C4292"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Tarragona</w:t>
            </w:r>
          </w:p>
        </w:tc>
        <w:tc>
          <w:tcPr>
            <w:tcW w:w="2268" w:type="dxa"/>
            <w:vAlign w:val="bottom"/>
          </w:tcPr>
          <w:p w14:paraId="6D42C0CA" w14:textId="77777777" w:rsidR="000569D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Tarragona capital</w:t>
            </w:r>
          </w:p>
        </w:tc>
        <w:tc>
          <w:tcPr>
            <w:tcW w:w="1843" w:type="dxa"/>
            <w:vAlign w:val="bottom"/>
          </w:tcPr>
          <w:p w14:paraId="34EAF900"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11,62 €</w:t>
            </w:r>
          </w:p>
        </w:tc>
        <w:tc>
          <w:tcPr>
            <w:tcW w:w="1559" w:type="dxa"/>
            <w:vAlign w:val="bottom"/>
          </w:tcPr>
          <w:p w14:paraId="355F32F7"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0,3%</w:t>
            </w:r>
          </w:p>
        </w:tc>
        <w:tc>
          <w:tcPr>
            <w:tcW w:w="1692" w:type="dxa"/>
            <w:vAlign w:val="bottom"/>
          </w:tcPr>
          <w:p w14:paraId="20330FE4"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sz w:val="22"/>
                <w:szCs w:val="22"/>
              </w:rPr>
              <w:t>3,5%</w:t>
            </w:r>
          </w:p>
        </w:tc>
      </w:tr>
      <w:tr w:rsidR="000569D1" w14:paraId="7441D4D8" w14:textId="77777777" w:rsidTr="000569D1">
        <w:trPr>
          <w:trHeight w:val="21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1AF2325F"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Valencia</w:t>
            </w:r>
          </w:p>
        </w:tc>
        <w:tc>
          <w:tcPr>
            <w:tcW w:w="2268" w:type="dxa"/>
            <w:vAlign w:val="bottom"/>
          </w:tcPr>
          <w:p w14:paraId="588337F5" w14:textId="77777777" w:rsidR="000569D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Valencia capital</w:t>
            </w:r>
          </w:p>
        </w:tc>
        <w:tc>
          <w:tcPr>
            <w:tcW w:w="1843" w:type="dxa"/>
            <w:vAlign w:val="bottom"/>
          </w:tcPr>
          <w:p w14:paraId="3D069CDA"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17,13 €</w:t>
            </w:r>
          </w:p>
        </w:tc>
        <w:tc>
          <w:tcPr>
            <w:tcW w:w="1559" w:type="dxa"/>
            <w:vAlign w:val="bottom"/>
          </w:tcPr>
          <w:p w14:paraId="41BC31C9"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-9,4%</w:t>
            </w:r>
          </w:p>
        </w:tc>
        <w:tc>
          <w:tcPr>
            <w:tcW w:w="1692" w:type="dxa"/>
            <w:vAlign w:val="bottom"/>
          </w:tcPr>
          <w:p w14:paraId="6BCEB6A5"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sz w:val="22"/>
                <w:szCs w:val="22"/>
              </w:rPr>
              <w:t>3,4%</w:t>
            </w:r>
          </w:p>
        </w:tc>
      </w:tr>
      <w:tr w:rsidR="000569D1" w14:paraId="748E4756" w14:textId="77777777" w:rsidTr="000569D1">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1C8F5AE2"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Huesca</w:t>
            </w:r>
          </w:p>
        </w:tc>
        <w:tc>
          <w:tcPr>
            <w:tcW w:w="2268" w:type="dxa"/>
            <w:vAlign w:val="bottom"/>
          </w:tcPr>
          <w:p w14:paraId="429E3FAE" w14:textId="77777777" w:rsidR="000569D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Huesca capital</w:t>
            </w:r>
          </w:p>
        </w:tc>
        <w:tc>
          <w:tcPr>
            <w:tcW w:w="1843" w:type="dxa"/>
            <w:vAlign w:val="bottom"/>
          </w:tcPr>
          <w:p w14:paraId="4BFDDD29"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9,73 €</w:t>
            </w:r>
          </w:p>
        </w:tc>
        <w:tc>
          <w:tcPr>
            <w:tcW w:w="1559" w:type="dxa"/>
            <w:vAlign w:val="bottom"/>
          </w:tcPr>
          <w:p w14:paraId="651A5DC3" w14:textId="77777777" w:rsidR="000569D1" w:rsidRDefault="000569D1">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p>
        </w:tc>
        <w:tc>
          <w:tcPr>
            <w:tcW w:w="1692" w:type="dxa"/>
            <w:vAlign w:val="bottom"/>
          </w:tcPr>
          <w:p w14:paraId="3F8BE2F2"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sz w:val="22"/>
                <w:szCs w:val="22"/>
              </w:rPr>
              <w:t>3,3%</w:t>
            </w:r>
          </w:p>
        </w:tc>
      </w:tr>
      <w:tr w:rsidR="000569D1" w14:paraId="6C6618F5" w14:textId="77777777" w:rsidTr="000569D1">
        <w:trPr>
          <w:trHeight w:val="21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11539DE3"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Santa Cruz de Tenerife</w:t>
            </w:r>
          </w:p>
        </w:tc>
        <w:tc>
          <w:tcPr>
            <w:tcW w:w="2268" w:type="dxa"/>
            <w:vAlign w:val="bottom"/>
          </w:tcPr>
          <w:p w14:paraId="4FDCD9D1" w14:textId="77777777" w:rsidR="000569D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Santa Cruz de Tenerife capital</w:t>
            </w:r>
          </w:p>
        </w:tc>
        <w:tc>
          <w:tcPr>
            <w:tcW w:w="1843" w:type="dxa"/>
            <w:vAlign w:val="bottom"/>
          </w:tcPr>
          <w:p w14:paraId="669D0449"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14,45 €</w:t>
            </w:r>
          </w:p>
        </w:tc>
        <w:tc>
          <w:tcPr>
            <w:tcW w:w="1559" w:type="dxa"/>
            <w:vAlign w:val="bottom"/>
          </w:tcPr>
          <w:p w14:paraId="30BA4ACC"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-4,9%</w:t>
            </w:r>
          </w:p>
        </w:tc>
        <w:tc>
          <w:tcPr>
            <w:tcW w:w="1692" w:type="dxa"/>
            <w:vAlign w:val="bottom"/>
          </w:tcPr>
          <w:p w14:paraId="75D44B9F"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sz w:val="22"/>
                <w:szCs w:val="22"/>
              </w:rPr>
              <w:t>3,2%</w:t>
            </w:r>
          </w:p>
        </w:tc>
      </w:tr>
      <w:tr w:rsidR="000569D1" w14:paraId="2509B900" w14:textId="77777777" w:rsidTr="000569D1">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23D85522"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Granada</w:t>
            </w:r>
          </w:p>
        </w:tc>
        <w:tc>
          <w:tcPr>
            <w:tcW w:w="2268" w:type="dxa"/>
            <w:vAlign w:val="bottom"/>
          </w:tcPr>
          <w:p w14:paraId="3D46C302" w14:textId="77777777" w:rsidR="000569D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Granada capital</w:t>
            </w:r>
          </w:p>
        </w:tc>
        <w:tc>
          <w:tcPr>
            <w:tcW w:w="1843" w:type="dxa"/>
            <w:vAlign w:val="bottom"/>
          </w:tcPr>
          <w:p w14:paraId="5EB3EC68"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10,87 €</w:t>
            </w:r>
          </w:p>
        </w:tc>
        <w:tc>
          <w:tcPr>
            <w:tcW w:w="1559" w:type="dxa"/>
            <w:vAlign w:val="bottom"/>
          </w:tcPr>
          <w:p w14:paraId="378132F7"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-3,0%</w:t>
            </w:r>
          </w:p>
        </w:tc>
        <w:tc>
          <w:tcPr>
            <w:tcW w:w="1692" w:type="dxa"/>
            <w:vAlign w:val="bottom"/>
          </w:tcPr>
          <w:p w14:paraId="728CF7C2"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sz w:val="22"/>
                <w:szCs w:val="22"/>
              </w:rPr>
              <w:t>2,9%</w:t>
            </w:r>
          </w:p>
        </w:tc>
      </w:tr>
      <w:tr w:rsidR="000569D1" w14:paraId="7989A4CB" w14:textId="77777777" w:rsidTr="000569D1">
        <w:trPr>
          <w:trHeight w:val="21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010B01A8"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Cáceres</w:t>
            </w:r>
          </w:p>
        </w:tc>
        <w:tc>
          <w:tcPr>
            <w:tcW w:w="2268" w:type="dxa"/>
            <w:vAlign w:val="bottom"/>
          </w:tcPr>
          <w:p w14:paraId="1E4B368B" w14:textId="77777777" w:rsidR="000569D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Cáceres capital</w:t>
            </w:r>
          </w:p>
        </w:tc>
        <w:tc>
          <w:tcPr>
            <w:tcW w:w="1843" w:type="dxa"/>
            <w:vAlign w:val="bottom"/>
          </w:tcPr>
          <w:p w14:paraId="467821ED"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8,29 €</w:t>
            </w:r>
          </w:p>
        </w:tc>
        <w:tc>
          <w:tcPr>
            <w:tcW w:w="1559" w:type="dxa"/>
            <w:vAlign w:val="bottom"/>
          </w:tcPr>
          <w:p w14:paraId="09BA659E"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0,1%</w:t>
            </w:r>
          </w:p>
        </w:tc>
        <w:tc>
          <w:tcPr>
            <w:tcW w:w="1692" w:type="dxa"/>
            <w:vAlign w:val="bottom"/>
          </w:tcPr>
          <w:p w14:paraId="4ED91864"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sz w:val="22"/>
                <w:szCs w:val="22"/>
              </w:rPr>
              <w:t>2,9%</w:t>
            </w:r>
          </w:p>
        </w:tc>
      </w:tr>
      <w:tr w:rsidR="000569D1" w14:paraId="20968918" w14:textId="77777777" w:rsidTr="000569D1">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3083F23D"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Toledo</w:t>
            </w:r>
          </w:p>
        </w:tc>
        <w:tc>
          <w:tcPr>
            <w:tcW w:w="2268" w:type="dxa"/>
            <w:vAlign w:val="bottom"/>
          </w:tcPr>
          <w:p w14:paraId="50F0D69D" w14:textId="77777777" w:rsidR="000569D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Toledo capital</w:t>
            </w:r>
          </w:p>
        </w:tc>
        <w:tc>
          <w:tcPr>
            <w:tcW w:w="1843" w:type="dxa"/>
            <w:vAlign w:val="bottom"/>
          </w:tcPr>
          <w:p w14:paraId="426637AD"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11,74 €</w:t>
            </w:r>
          </w:p>
        </w:tc>
        <w:tc>
          <w:tcPr>
            <w:tcW w:w="1559" w:type="dxa"/>
            <w:vAlign w:val="bottom"/>
          </w:tcPr>
          <w:p w14:paraId="6672BE3D"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2,9%</w:t>
            </w:r>
          </w:p>
        </w:tc>
        <w:tc>
          <w:tcPr>
            <w:tcW w:w="1692" w:type="dxa"/>
            <w:vAlign w:val="bottom"/>
          </w:tcPr>
          <w:p w14:paraId="5AF9148F"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sz w:val="22"/>
                <w:szCs w:val="22"/>
              </w:rPr>
              <w:t>2,7%</w:t>
            </w:r>
          </w:p>
        </w:tc>
      </w:tr>
      <w:tr w:rsidR="000569D1" w14:paraId="7521C969" w14:textId="77777777" w:rsidTr="000569D1">
        <w:trPr>
          <w:trHeight w:val="21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4A161AB6"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Valladolid</w:t>
            </w:r>
          </w:p>
        </w:tc>
        <w:tc>
          <w:tcPr>
            <w:tcW w:w="2268" w:type="dxa"/>
            <w:vAlign w:val="bottom"/>
          </w:tcPr>
          <w:p w14:paraId="4D0B8C69" w14:textId="77777777" w:rsidR="000569D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Valladolid capital</w:t>
            </w:r>
          </w:p>
        </w:tc>
        <w:tc>
          <w:tcPr>
            <w:tcW w:w="1843" w:type="dxa"/>
            <w:vAlign w:val="bottom"/>
          </w:tcPr>
          <w:p w14:paraId="4F167F3F"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10,41 €</w:t>
            </w:r>
          </w:p>
        </w:tc>
        <w:tc>
          <w:tcPr>
            <w:tcW w:w="1559" w:type="dxa"/>
            <w:vAlign w:val="bottom"/>
          </w:tcPr>
          <w:p w14:paraId="2D1C6B54"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-2,3%</w:t>
            </w:r>
          </w:p>
        </w:tc>
        <w:tc>
          <w:tcPr>
            <w:tcW w:w="1692" w:type="dxa"/>
            <w:vAlign w:val="bottom"/>
          </w:tcPr>
          <w:p w14:paraId="364E4E62"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sz w:val="22"/>
                <w:szCs w:val="22"/>
              </w:rPr>
              <w:t>2,7%</w:t>
            </w:r>
          </w:p>
        </w:tc>
      </w:tr>
      <w:tr w:rsidR="000569D1" w14:paraId="698DFCDE" w14:textId="77777777" w:rsidTr="000569D1">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2C38A9BF"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Lleida</w:t>
            </w:r>
          </w:p>
        </w:tc>
        <w:tc>
          <w:tcPr>
            <w:tcW w:w="2268" w:type="dxa"/>
            <w:vAlign w:val="bottom"/>
          </w:tcPr>
          <w:p w14:paraId="14D4CDBF" w14:textId="77777777" w:rsidR="000569D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Lleida capital</w:t>
            </w:r>
          </w:p>
        </w:tc>
        <w:tc>
          <w:tcPr>
            <w:tcW w:w="1843" w:type="dxa"/>
            <w:vAlign w:val="bottom"/>
          </w:tcPr>
          <w:p w14:paraId="42E5C532"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9,04 €</w:t>
            </w:r>
          </w:p>
        </w:tc>
        <w:tc>
          <w:tcPr>
            <w:tcW w:w="1559" w:type="dxa"/>
            <w:vAlign w:val="bottom"/>
          </w:tcPr>
          <w:p w14:paraId="03CADA79"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-2,2%</w:t>
            </w:r>
          </w:p>
        </w:tc>
        <w:tc>
          <w:tcPr>
            <w:tcW w:w="1692" w:type="dxa"/>
            <w:vAlign w:val="bottom"/>
          </w:tcPr>
          <w:p w14:paraId="182BF621"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sz w:val="22"/>
                <w:szCs w:val="22"/>
              </w:rPr>
              <w:t>2,3%</w:t>
            </w:r>
          </w:p>
        </w:tc>
      </w:tr>
      <w:tr w:rsidR="000569D1" w14:paraId="2F33016D" w14:textId="77777777" w:rsidTr="000569D1">
        <w:trPr>
          <w:trHeight w:val="21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072AC949"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Murcia</w:t>
            </w:r>
          </w:p>
        </w:tc>
        <w:tc>
          <w:tcPr>
            <w:tcW w:w="2268" w:type="dxa"/>
            <w:vAlign w:val="bottom"/>
          </w:tcPr>
          <w:p w14:paraId="0F78B9EF" w14:textId="77777777" w:rsidR="000569D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Murcia capital</w:t>
            </w:r>
          </w:p>
        </w:tc>
        <w:tc>
          <w:tcPr>
            <w:tcW w:w="1843" w:type="dxa"/>
            <w:vAlign w:val="bottom"/>
          </w:tcPr>
          <w:p w14:paraId="2581B315"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10,10 €</w:t>
            </w:r>
          </w:p>
        </w:tc>
        <w:tc>
          <w:tcPr>
            <w:tcW w:w="1559" w:type="dxa"/>
            <w:vAlign w:val="bottom"/>
          </w:tcPr>
          <w:p w14:paraId="7BBFFB60"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-2,0%</w:t>
            </w:r>
          </w:p>
        </w:tc>
        <w:tc>
          <w:tcPr>
            <w:tcW w:w="1692" w:type="dxa"/>
            <w:vAlign w:val="bottom"/>
          </w:tcPr>
          <w:p w14:paraId="0F1B8E69"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sz w:val="22"/>
                <w:szCs w:val="22"/>
              </w:rPr>
              <w:t>1,4%</w:t>
            </w:r>
          </w:p>
        </w:tc>
      </w:tr>
      <w:tr w:rsidR="000569D1" w14:paraId="6F739BFE" w14:textId="77777777" w:rsidTr="000569D1">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52CA7DAD"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La Rioja</w:t>
            </w:r>
          </w:p>
        </w:tc>
        <w:tc>
          <w:tcPr>
            <w:tcW w:w="2268" w:type="dxa"/>
            <w:vAlign w:val="bottom"/>
          </w:tcPr>
          <w:p w14:paraId="3D442FD6" w14:textId="77777777" w:rsidR="000569D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Logroño</w:t>
            </w:r>
          </w:p>
        </w:tc>
        <w:tc>
          <w:tcPr>
            <w:tcW w:w="1843" w:type="dxa"/>
            <w:vAlign w:val="bottom"/>
          </w:tcPr>
          <w:p w14:paraId="7BEC0459"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10,19 €</w:t>
            </w:r>
          </w:p>
        </w:tc>
        <w:tc>
          <w:tcPr>
            <w:tcW w:w="1559" w:type="dxa"/>
            <w:vAlign w:val="bottom"/>
          </w:tcPr>
          <w:p w14:paraId="286FC1D8"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0,4%</w:t>
            </w:r>
          </w:p>
        </w:tc>
        <w:tc>
          <w:tcPr>
            <w:tcW w:w="1692" w:type="dxa"/>
            <w:vAlign w:val="bottom"/>
          </w:tcPr>
          <w:p w14:paraId="626C4A84"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sz w:val="22"/>
                <w:szCs w:val="22"/>
              </w:rPr>
              <w:t>1,4%</w:t>
            </w:r>
          </w:p>
        </w:tc>
      </w:tr>
      <w:tr w:rsidR="000569D1" w14:paraId="77762053" w14:textId="77777777" w:rsidTr="000569D1">
        <w:trPr>
          <w:trHeight w:val="21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41344AA5"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Córdoba</w:t>
            </w:r>
          </w:p>
        </w:tc>
        <w:tc>
          <w:tcPr>
            <w:tcW w:w="2268" w:type="dxa"/>
            <w:vAlign w:val="bottom"/>
          </w:tcPr>
          <w:p w14:paraId="0E208106" w14:textId="77777777" w:rsidR="000569D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Córdoba capital</w:t>
            </w:r>
          </w:p>
        </w:tc>
        <w:tc>
          <w:tcPr>
            <w:tcW w:w="1843" w:type="dxa"/>
            <w:vAlign w:val="bottom"/>
          </w:tcPr>
          <w:p w14:paraId="100277EF"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9,16 €</w:t>
            </w:r>
          </w:p>
        </w:tc>
        <w:tc>
          <w:tcPr>
            <w:tcW w:w="1559" w:type="dxa"/>
            <w:vAlign w:val="bottom"/>
          </w:tcPr>
          <w:p w14:paraId="49BFBA81"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-2,6%</w:t>
            </w:r>
          </w:p>
        </w:tc>
        <w:tc>
          <w:tcPr>
            <w:tcW w:w="1692" w:type="dxa"/>
            <w:vAlign w:val="bottom"/>
          </w:tcPr>
          <w:p w14:paraId="5B62C6EC"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sz w:val="22"/>
                <w:szCs w:val="22"/>
              </w:rPr>
              <w:t>1,3%</w:t>
            </w:r>
          </w:p>
        </w:tc>
      </w:tr>
      <w:tr w:rsidR="000569D1" w14:paraId="569978A9" w14:textId="77777777" w:rsidTr="000569D1">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09C31321"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Illes Balears</w:t>
            </w:r>
          </w:p>
        </w:tc>
        <w:tc>
          <w:tcPr>
            <w:tcW w:w="2268" w:type="dxa"/>
            <w:vAlign w:val="bottom"/>
          </w:tcPr>
          <w:p w14:paraId="1BC19FF3" w14:textId="77777777" w:rsidR="000569D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Palma de Mallorca</w:t>
            </w:r>
          </w:p>
        </w:tc>
        <w:tc>
          <w:tcPr>
            <w:tcW w:w="1843" w:type="dxa"/>
            <w:vAlign w:val="bottom"/>
          </w:tcPr>
          <w:p w14:paraId="6E21E146"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19,11 €</w:t>
            </w:r>
          </w:p>
        </w:tc>
        <w:tc>
          <w:tcPr>
            <w:tcW w:w="1559" w:type="dxa"/>
            <w:vAlign w:val="bottom"/>
          </w:tcPr>
          <w:p w14:paraId="24CC3CE2"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-0,1%</w:t>
            </w:r>
          </w:p>
        </w:tc>
        <w:tc>
          <w:tcPr>
            <w:tcW w:w="1692" w:type="dxa"/>
            <w:vAlign w:val="bottom"/>
          </w:tcPr>
          <w:p w14:paraId="4A4866B8"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sz w:val="22"/>
                <w:szCs w:val="22"/>
              </w:rPr>
              <w:t>0,6%</w:t>
            </w:r>
          </w:p>
        </w:tc>
      </w:tr>
      <w:tr w:rsidR="000569D1" w14:paraId="787F590D" w14:textId="77777777" w:rsidTr="000569D1">
        <w:trPr>
          <w:trHeight w:val="21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58B6C0BD"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Zamora</w:t>
            </w:r>
          </w:p>
        </w:tc>
        <w:tc>
          <w:tcPr>
            <w:tcW w:w="2268" w:type="dxa"/>
            <w:vAlign w:val="bottom"/>
          </w:tcPr>
          <w:p w14:paraId="760CE83A" w14:textId="77777777" w:rsidR="000569D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Zamora capital</w:t>
            </w:r>
          </w:p>
        </w:tc>
        <w:tc>
          <w:tcPr>
            <w:tcW w:w="1843" w:type="dxa"/>
            <w:vAlign w:val="bottom"/>
          </w:tcPr>
          <w:p w14:paraId="6835E38B"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10,12 €</w:t>
            </w:r>
          </w:p>
        </w:tc>
        <w:tc>
          <w:tcPr>
            <w:tcW w:w="1559" w:type="dxa"/>
            <w:vAlign w:val="bottom"/>
          </w:tcPr>
          <w:p w14:paraId="766729AE"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-3,7%</w:t>
            </w:r>
          </w:p>
        </w:tc>
        <w:tc>
          <w:tcPr>
            <w:tcW w:w="1692" w:type="dxa"/>
            <w:vAlign w:val="bottom"/>
          </w:tcPr>
          <w:p w14:paraId="6EB6DE69"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sz w:val="22"/>
                <w:szCs w:val="22"/>
              </w:rPr>
              <w:t>0,2%</w:t>
            </w:r>
          </w:p>
        </w:tc>
      </w:tr>
      <w:tr w:rsidR="000569D1" w14:paraId="2562FA10" w14:textId="77777777" w:rsidTr="000569D1">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4888521D"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Gipuzkoa</w:t>
            </w:r>
          </w:p>
        </w:tc>
        <w:tc>
          <w:tcPr>
            <w:tcW w:w="2268" w:type="dxa"/>
            <w:vAlign w:val="bottom"/>
          </w:tcPr>
          <w:p w14:paraId="30C30F42" w14:textId="77777777" w:rsidR="000569D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Donostia - San Sebastián</w:t>
            </w:r>
          </w:p>
        </w:tc>
        <w:tc>
          <w:tcPr>
            <w:tcW w:w="1843" w:type="dxa"/>
            <w:vAlign w:val="bottom"/>
          </w:tcPr>
          <w:p w14:paraId="462D1FF5"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20,13 €</w:t>
            </w:r>
          </w:p>
        </w:tc>
        <w:tc>
          <w:tcPr>
            <w:tcW w:w="1559" w:type="dxa"/>
            <w:vAlign w:val="bottom"/>
          </w:tcPr>
          <w:p w14:paraId="4C2FD0B2"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7,6%</w:t>
            </w:r>
          </w:p>
        </w:tc>
        <w:tc>
          <w:tcPr>
            <w:tcW w:w="1692" w:type="dxa"/>
            <w:vAlign w:val="bottom"/>
          </w:tcPr>
          <w:p w14:paraId="61661C92"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9C0006"/>
                <w:sz w:val="22"/>
                <w:szCs w:val="22"/>
              </w:rPr>
              <w:t>-0,1%</w:t>
            </w:r>
          </w:p>
        </w:tc>
      </w:tr>
      <w:tr w:rsidR="000569D1" w14:paraId="01BA6BB5" w14:textId="77777777" w:rsidTr="000569D1">
        <w:trPr>
          <w:trHeight w:val="21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611FF64D"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Málaga</w:t>
            </w:r>
          </w:p>
        </w:tc>
        <w:tc>
          <w:tcPr>
            <w:tcW w:w="2268" w:type="dxa"/>
            <w:vAlign w:val="bottom"/>
          </w:tcPr>
          <w:p w14:paraId="2238D48C" w14:textId="77777777" w:rsidR="000569D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Málaga capital</w:t>
            </w:r>
          </w:p>
        </w:tc>
        <w:tc>
          <w:tcPr>
            <w:tcW w:w="1843" w:type="dxa"/>
            <w:vAlign w:val="bottom"/>
          </w:tcPr>
          <w:p w14:paraId="793EB9E6"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16,23 €</w:t>
            </w:r>
          </w:p>
        </w:tc>
        <w:tc>
          <w:tcPr>
            <w:tcW w:w="1559" w:type="dxa"/>
            <w:vAlign w:val="bottom"/>
          </w:tcPr>
          <w:p w14:paraId="766EB1D9"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-1,9%</w:t>
            </w:r>
          </w:p>
        </w:tc>
        <w:tc>
          <w:tcPr>
            <w:tcW w:w="1692" w:type="dxa"/>
            <w:vAlign w:val="bottom"/>
          </w:tcPr>
          <w:p w14:paraId="0FA9D76F"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9C0006"/>
                <w:sz w:val="22"/>
                <w:szCs w:val="22"/>
              </w:rPr>
              <w:t>-0,2%</w:t>
            </w:r>
          </w:p>
        </w:tc>
      </w:tr>
      <w:tr w:rsidR="000569D1" w14:paraId="0C30C004" w14:textId="77777777" w:rsidTr="000569D1">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67C2C2F0"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Las Palmas</w:t>
            </w:r>
          </w:p>
        </w:tc>
        <w:tc>
          <w:tcPr>
            <w:tcW w:w="2268" w:type="dxa"/>
            <w:vAlign w:val="bottom"/>
          </w:tcPr>
          <w:p w14:paraId="35BD5645" w14:textId="77777777" w:rsidR="000569D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Las Palmas de Gran Canaria</w:t>
            </w:r>
          </w:p>
        </w:tc>
        <w:tc>
          <w:tcPr>
            <w:tcW w:w="1843" w:type="dxa"/>
            <w:vAlign w:val="bottom"/>
          </w:tcPr>
          <w:p w14:paraId="3BA360D2"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15,75 €</w:t>
            </w:r>
          </w:p>
        </w:tc>
        <w:tc>
          <w:tcPr>
            <w:tcW w:w="1559" w:type="dxa"/>
            <w:vAlign w:val="bottom"/>
          </w:tcPr>
          <w:p w14:paraId="05C62445"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-0,8%</w:t>
            </w:r>
          </w:p>
        </w:tc>
        <w:tc>
          <w:tcPr>
            <w:tcW w:w="1692" w:type="dxa"/>
            <w:vAlign w:val="bottom"/>
          </w:tcPr>
          <w:p w14:paraId="1D6A2596"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9C0006"/>
                <w:sz w:val="22"/>
                <w:szCs w:val="22"/>
              </w:rPr>
              <w:t>-0,7%</w:t>
            </w:r>
          </w:p>
        </w:tc>
      </w:tr>
      <w:tr w:rsidR="000569D1" w14:paraId="1B531295" w14:textId="77777777" w:rsidTr="000569D1">
        <w:trPr>
          <w:trHeight w:val="21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454308BC"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Alicante</w:t>
            </w:r>
          </w:p>
        </w:tc>
        <w:tc>
          <w:tcPr>
            <w:tcW w:w="2268" w:type="dxa"/>
            <w:vAlign w:val="bottom"/>
          </w:tcPr>
          <w:p w14:paraId="37B2DF60" w14:textId="77777777" w:rsidR="000569D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Alicante / Alacant</w:t>
            </w:r>
          </w:p>
        </w:tc>
        <w:tc>
          <w:tcPr>
            <w:tcW w:w="1843" w:type="dxa"/>
            <w:vAlign w:val="bottom"/>
          </w:tcPr>
          <w:p w14:paraId="64303FDD"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13,91 €</w:t>
            </w:r>
          </w:p>
        </w:tc>
        <w:tc>
          <w:tcPr>
            <w:tcW w:w="1559" w:type="dxa"/>
            <w:vAlign w:val="bottom"/>
          </w:tcPr>
          <w:p w14:paraId="2A0EE0E5"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-7,1%</w:t>
            </w:r>
          </w:p>
        </w:tc>
        <w:tc>
          <w:tcPr>
            <w:tcW w:w="1692" w:type="dxa"/>
            <w:vAlign w:val="bottom"/>
          </w:tcPr>
          <w:p w14:paraId="17D68257"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9C0006"/>
                <w:sz w:val="22"/>
                <w:szCs w:val="22"/>
              </w:rPr>
              <w:t>-0,8%</w:t>
            </w:r>
          </w:p>
        </w:tc>
      </w:tr>
      <w:tr w:rsidR="000569D1" w14:paraId="4C56B1FB" w14:textId="77777777" w:rsidTr="000569D1">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5CFCA2D6"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Bizkaia</w:t>
            </w:r>
          </w:p>
        </w:tc>
        <w:tc>
          <w:tcPr>
            <w:tcW w:w="2268" w:type="dxa"/>
            <w:vAlign w:val="bottom"/>
          </w:tcPr>
          <w:p w14:paraId="62FFDB3C" w14:textId="77777777" w:rsidR="000569D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Bilbao</w:t>
            </w:r>
          </w:p>
        </w:tc>
        <w:tc>
          <w:tcPr>
            <w:tcW w:w="1843" w:type="dxa"/>
            <w:vAlign w:val="bottom"/>
          </w:tcPr>
          <w:p w14:paraId="0C8A716E"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16,53 €</w:t>
            </w:r>
          </w:p>
        </w:tc>
        <w:tc>
          <w:tcPr>
            <w:tcW w:w="1559" w:type="dxa"/>
            <w:vAlign w:val="bottom"/>
          </w:tcPr>
          <w:p w14:paraId="362E3A44"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-5,3%</w:t>
            </w:r>
          </w:p>
        </w:tc>
        <w:tc>
          <w:tcPr>
            <w:tcW w:w="1692" w:type="dxa"/>
            <w:vAlign w:val="bottom"/>
          </w:tcPr>
          <w:p w14:paraId="267E0A1D"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9C0006"/>
                <w:sz w:val="22"/>
                <w:szCs w:val="22"/>
              </w:rPr>
              <w:t>-0,8%</w:t>
            </w:r>
          </w:p>
        </w:tc>
      </w:tr>
      <w:tr w:rsidR="000569D1" w14:paraId="42CDA89E" w14:textId="77777777" w:rsidTr="000569D1">
        <w:trPr>
          <w:trHeight w:val="21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34F6D3E9"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A Coruña</w:t>
            </w:r>
          </w:p>
        </w:tc>
        <w:tc>
          <w:tcPr>
            <w:tcW w:w="2268" w:type="dxa"/>
            <w:vAlign w:val="bottom"/>
          </w:tcPr>
          <w:p w14:paraId="7C2C506E" w14:textId="77777777" w:rsidR="000569D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A Coruña capital</w:t>
            </w:r>
          </w:p>
        </w:tc>
        <w:tc>
          <w:tcPr>
            <w:tcW w:w="1843" w:type="dxa"/>
            <w:vAlign w:val="bottom"/>
          </w:tcPr>
          <w:p w14:paraId="4B169468"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12,16 €</w:t>
            </w:r>
          </w:p>
        </w:tc>
        <w:tc>
          <w:tcPr>
            <w:tcW w:w="1559" w:type="dxa"/>
            <w:vAlign w:val="bottom"/>
          </w:tcPr>
          <w:p w14:paraId="3C482AC7"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-3,1%</w:t>
            </w:r>
          </w:p>
        </w:tc>
        <w:tc>
          <w:tcPr>
            <w:tcW w:w="1692" w:type="dxa"/>
            <w:vAlign w:val="bottom"/>
          </w:tcPr>
          <w:p w14:paraId="379DFBB2"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9C0006"/>
                <w:sz w:val="22"/>
                <w:szCs w:val="22"/>
              </w:rPr>
              <w:t>-1,2%</w:t>
            </w:r>
          </w:p>
        </w:tc>
      </w:tr>
      <w:tr w:rsidR="000569D1" w14:paraId="3D2E437E" w14:textId="77777777" w:rsidTr="000569D1">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66CA7DC7"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Sevilla</w:t>
            </w:r>
          </w:p>
        </w:tc>
        <w:tc>
          <w:tcPr>
            <w:tcW w:w="2268" w:type="dxa"/>
            <w:vAlign w:val="bottom"/>
          </w:tcPr>
          <w:p w14:paraId="014826F8" w14:textId="77777777" w:rsidR="000569D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sz w:val="22"/>
                <w:szCs w:val="22"/>
              </w:rPr>
              <w:t>Sevilla capital</w:t>
            </w:r>
          </w:p>
        </w:tc>
        <w:tc>
          <w:tcPr>
            <w:tcW w:w="1843" w:type="dxa"/>
            <w:vAlign w:val="bottom"/>
          </w:tcPr>
          <w:p w14:paraId="480BAC3E"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sz w:val="22"/>
                <w:szCs w:val="22"/>
              </w:rPr>
              <w:t>14,06 €</w:t>
            </w:r>
          </w:p>
        </w:tc>
        <w:tc>
          <w:tcPr>
            <w:tcW w:w="1559" w:type="dxa"/>
            <w:vAlign w:val="bottom"/>
          </w:tcPr>
          <w:p w14:paraId="02DBB08D"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9C0006"/>
                <w:sz w:val="22"/>
                <w:szCs w:val="22"/>
              </w:rPr>
            </w:pPr>
            <w:r>
              <w:rPr>
                <w:rFonts w:ascii="Open Sans" w:eastAsia="Open Sans" w:hAnsi="Open Sans" w:cs="Open Sans"/>
                <w:color w:val="9C0006"/>
                <w:sz w:val="22"/>
                <w:szCs w:val="22"/>
              </w:rPr>
              <w:t>-4,0%</w:t>
            </w:r>
          </w:p>
        </w:tc>
        <w:tc>
          <w:tcPr>
            <w:tcW w:w="1692" w:type="dxa"/>
            <w:vAlign w:val="bottom"/>
          </w:tcPr>
          <w:p w14:paraId="4110D0FD"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9C0006"/>
                <w:sz w:val="22"/>
                <w:szCs w:val="22"/>
              </w:rPr>
            </w:pPr>
            <w:r>
              <w:rPr>
                <w:rFonts w:ascii="Open Sans" w:eastAsia="Open Sans" w:hAnsi="Open Sans" w:cs="Open Sans"/>
                <w:b/>
                <w:bCs/>
                <w:color w:val="9C0006"/>
                <w:sz w:val="22"/>
                <w:szCs w:val="22"/>
              </w:rPr>
              <w:t>-1,7%</w:t>
            </w:r>
          </w:p>
        </w:tc>
      </w:tr>
      <w:tr w:rsidR="000569D1" w14:paraId="4A3090C1" w14:textId="77777777" w:rsidTr="000569D1">
        <w:trPr>
          <w:trHeight w:val="21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32E0117D"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Jaén</w:t>
            </w:r>
          </w:p>
        </w:tc>
        <w:tc>
          <w:tcPr>
            <w:tcW w:w="2268" w:type="dxa"/>
            <w:vAlign w:val="bottom"/>
          </w:tcPr>
          <w:p w14:paraId="590BC4A5" w14:textId="77777777" w:rsidR="000569D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sz w:val="22"/>
                <w:szCs w:val="22"/>
              </w:rPr>
              <w:t>Jaén capital</w:t>
            </w:r>
          </w:p>
        </w:tc>
        <w:tc>
          <w:tcPr>
            <w:tcW w:w="1843" w:type="dxa"/>
            <w:vAlign w:val="bottom"/>
          </w:tcPr>
          <w:p w14:paraId="3383DEC9"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sz w:val="22"/>
                <w:szCs w:val="22"/>
              </w:rPr>
              <w:t>7,50 €</w:t>
            </w:r>
          </w:p>
        </w:tc>
        <w:tc>
          <w:tcPr>
            <w:tcW w:w="1559" w:type="dxa"/>
            <w:vAlign w:val="bottom"/>
          </w:tcPr>
          <w:p w14:paraId="65068DA0"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9C0006"/>
                <w:sz w:val="22"/>
                <w:szCs w:val="22"/>
              </w:rPr>
            </w:pPr>
            <w:r>
              <w:rPr>
                <w:rFonts w:ascii="Open Sans" w:eastAsia="Open Sans" w:hAnsi="Open Sans" w:cs="Open Sans"/>
                <w:color w:val="9C0006"/>
                <w:sz w:val="22"/>
                <w:szCs w:val="22"/>
              </w:rPr>
              <w:t>-4,3%</w:t>
            </w:r>
          </w:p>
        </w:tc>
        <w:tc>
          <w:tcPr>
            <w:tcW w:w="1692" w:type="dxa"/>
            <w:vAlign w:val="bottom"/>
          </w:tcPr>
          <w:p w14:paraId="47740D57"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9C0006"/>
                <w:sz w:val="22"/>
                <w:szCs w:val="22"/>
              </w:rPr>
            </w:pPr>
            <w:r>
              <w:rPr>
                <w:rFonts w:ascii="Open Sans" w:eastAsia="Open Sans" w:hAnsi="Open Sans" w:cs="Open Sans"/>
                <w:b/>
                <w:bCs/>
                <w:color w:val="9C0006"/>
                <w:sz w:val="22"/>
                <w:szCs w:val="22"/>
              </w:rPr>
              <w:t>-1,8%</w:t>
            </w:r>
          </w:p>
        </w:tc>
      </w:tr>
      <w:tr w:rsidR="000569D1" w14:paraId="0843D749" w14:textId="77777777" w:rsidTr="000569D1">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442E2743"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Ávila</w:t>
            </w:r>
          </w:p>
        </w:tc>
        <w:tc>
          <w:tcPr>
            <w:tcW w:w="2268" w:type="dxa"/>
            <w:vAlign w:val="bottom"/>
          </w:tcPr>
          <w:p w14:paraId="39A50570" w14:textId="77777777" w:rsidR="000569D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sz w:val="22"/>
                <w:szCs w:val="22"/>
              </w:rPr>
              <w:t>Ávila capital</w:t>
            </w:r>
          </w:p>
        </w:tc>
        <w:tc>
          <w:tcPr>
            <w:tcW w:w="1843" w:type="dxa"/>
            <w:vAlign w:val="bottom"/>
          </w:tcPr>
          <w:p w14:paraId="0ACE7A33"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sz w:val="22"/>
                <w:szCs w:val="22"/>
              </w:rPr>
              <w:t>8,52 €</w:t>
            </w:r>
          </w:p>
        </w:tc>
        <w:tc>
          <w:tcPr>
            <w:tcW w:w="1559" w:type="dxa"/>
            <w:vAlign w:val="bottom"/>
          </w:tcPr>
          <w:p w14:paraId="2E32A835"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9C0006"/>
                <w:sz w:val="22"/>
                <w:szCs w:val="22"/>
              </w:rPr>
            </w:pPr>
            <w:r>
              <w:rPr>
                <w:rFonts w:ascii="Open Sans" w:eastAsia="Open Sans" w:hAnsi="Open Sans" w:cs="Open Sans"/>
                <w:color w:val="9C0006"/>
                <w:sz w:val="22"/>
                <w:szCs w:val="22"/>
              </w:rPr>
              <w:t>-3,7%</w:t>
            </w:r>
          </w:p>
        </w:tc>
        <w:tc>
          <w:tcPr>
            <w:tcW w:w="1692" w:type="dxa"/>
            <w:vAlign w:val="bottom"/>
          </w:tcPr>
          <w:p w14:paraId="686BBD23"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9C0006"/>
                <w:sz w:val="22"/>
                <w:szCs w:val="22"/>
              </w:rPr>
            </w:pPr>
            <w:r>
              <w:rPr>
                <w:rFonts w:ascii="Open Sans" w:eastAsia="Open Sans" w:hAnsi="Open Sans" w:cs="Open Sans"/>
                <w:b/>
                <w:bCs/>
                <w:color w:val="9C0006"/>
                <w:sz w:val="22"/>
                <w:szCs w:val="22"/>
              </w:rPr>
              <w:t>-7,0%</w:t>
            </w:r>
          </w:p>
        </w:tc>
      </w:tr>
      <w:tr w:rsidR="000569D1" w14:paraId="0888CFD7" w14:textId="77777777" w:rsidTr="000569D1">
        <w:trPr>
          <w:trHeight w:val="21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2DA6D0C1"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Madrid</w:t>
            </w:r>
          </w:p>
        </w:tc>
        <w:tc>
          <w:tcPr>
            <w:tcW w:w="2268" w:type="dxa"/>
            <w:vAlign w:val="bottom"/>
          </w:tcPr>
          <w:p w14:paraId="73A34FA8" w14:textId="77777777" w:rsidR="000569D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Madrid capital</w:t>
            </w:r>
          </w:p>
        </w:tc>
        <w:tc>
          <w:tcPr>
            <w:tcW w:w="1843" w:type="dxa"/>
            <w:vAlign w:val="bottom"/>
          </w:tcPr>
          <w:p w14:paraId="5B33CE2D"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19,95 €</w:t>
            </w:r>
          </w:p>
        </w:tc>
        <w:tc>
          <w:tcPr>
            <w:tcW w:w="1559" w:type="dxa"/>
            <w:vAlign w:val="bottom"/>
          </w:tcPr>
          <w:p w14:paraId="6D796EC9"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-12,2%</w:t>
            </w:r>
          </w:p>
        </w:tc>
        <w:tc>
          <w:tcPr>
            <w:tcW w:w="1692" w:type="dxa"/>
            <w:vAlign w:val="bottom"/>
          </w:tcPr>
          <w:p w14:paraId="669BF813"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9C0006"/>
                <w:sz w:val="22"/>
                <w:szCs w:val="22"/>
              </w:rPr>
              <w:t>-10,7%</w:t>
            </w:r>
          </w:p>
        </w:tc>
      </w:tr>
      <w:tr w:rsidR="000569D1" w14:paraId="14223F75" w14:textId="77777777" w:rsidTr="000569D1">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039A23E8"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Barcelona</w:t>
            </w:r>
          </w:p>
        </w:tc>
        <w:tc>
          <w:tcPr>
            <w:tcW w:w="2268" w:type="dxa"/>
            <w:vAlign w:val="bottom"/>
          </w:tcPr>
          <w:p w14:paraId="4B60229E" w14:textId="77777777" w:rsidR="000569D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Barcelona capital</w:t>
            </w:r>
          </w:p>
        </w:tc>
        <w:tc>
          <w:tcPr>
            <w:tcW w:w="1843" w:type="dxa"/>
            <w:vAlign w:val="bottom"/>
          </w:tcPr>
          <w:p w14:paraId="421CEF19"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18,20 €</w:t>
            </w:r>
          </w:p>
        </w:tc>
        <w:tc>
          <w:tcPr>
            <w:tcW w:w="1559" w:type="dxa"/>
            <w:vAlign w:val="bottom"/>
          </w:tcPr>
          <w:p w14:paraId="6B0D7AE8"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-16,2%</w:t>
            </w:r>
          </w:p>
        </w:tc>
        <w:tc>
          <w:tcPr>
            <w:tcW w:w="1692" w:type="dxa"/>
            <w:vAlign w:val="bottom"/>
          </w:tcPr>
          <w:p w14:paraId="7F30F48A"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9C0006"/>
                <w:sz w:val="22"/>
                <w:szCs w:val="22"/>
              </w:rPr>
              <w:t>-22,3%</w:t>
            </w:r>
          </w:p>
        </w:tc>
      </w:tr>
    </w:tbl>
    <w:p w14:paraId="00E91F95" w14:textId="77777777" w:rsidR="000569D1" w:rsidRDefault="000569D1">
      <w:pPr>
        <w:spacing w:line="276" w:lineRule="auto"/>
        <w:ind w:right="-567"/>
        <w:jc w:val="both"/>
        <w:rPr>
          <w:rFonts w:ascii="Open Sans" w:eastAsia="Open Sans" w:hAnsi="Open Sans" w:cs="Open Sans"/>
          <w:color w:val="000000"/>
        </w:rPr>
      </w:pPr>
    </w:p>
    <w:p w14:paraId="28D6FF0C" w14:textId="77777777" w:rsidR="006B0804" w:rsidRDefault="006B0804">
      <w:pPr>
        <w:spacing w:line="276" w:lineRule="auto"/>
        <w:ind w:right="-567"/>
        <w:rPr>
          <w:rFonts w:ascii="Open Sans Light" w:eastAsia="Open Sans Light" w:hAnsi="Open Sans Light" w:cs="Open Sans Light"/>
          <w:b/>
          <w:bCs/>
          <w:color w:val="303AB2"/>
          <w:sz w:val="28"/>
          <w:szCs w:val="28"/>
        </w:rPr>
      </w:pPr>
    </w:p>
    <w:p w14:paraId="0A6D53D3" w14:textId="26E48BE1" w:rsidR="000569D1" w:rsidRDefault="00000000">
      <w:pPr>
        <w:spacing w:line="276" w:lineRule="auto"/>
        <w:ind w:right="-567"/>
        <w:rPr>
          <w:rFonts w:ascii="Open Sans Light" w:eastAsia="Open Sans Light" w:hAnsi="Open Sans Light" w:cs="Open Sans Light"/>
          <w:b/>
          <w:bCs/>
          <w:color w:val="303AB2"/>
          <w:sz w:val="28"/>
          <w:szCs w:val="28"/>
        </w:rPr>
      </w:pPr>
      <w:r>
        <w:rPr>
          <w:rFonts w:ascii="Open Sans Light" w:eastAsia="Open Sans Light" w:hAnsi="Open Sans Light" w:cs="Open Sans Light"/>
          <w:b/>
          <w:bCs/>
          <w:color w:val="303AB2"/>
          <w:sz w:val="28"/>
          <w:szCs w:val="28"/>
        </w:rPr>
        <w:lastRenderedPageBreak/>
        <w:t>Municipios</w:t>
      </w:r>
    </w:p>
    <w:p w14:paraId="1F357E14" w14:textId="77777777" w:rsidR="000569D1" w:rsidRDefault="000569D1">
      <w:pPr>
        <w:spacing w:line="276" w:lineRule="auto"/>
        <w:ind w:right="-567"/>
        <w:jc w:val="both"/>
        <w:rPr>
          <w:rFonts w:ascii="Open Sans" w:eastAsia="Open Sans" w:hAnsi="Open Sans" w:cs="Open Sans"/>
          <w:color w:val="000000"/>
        </w:rPr>
      </w:pPr>
    </w:p>
    <w:p w14:paraId="62327BA0" w14:textId="5B032DB3" w:rsidR="000569D1" w:rsidRDefault="00000000">
      <w:pPr>
        <w:spacing w:line="276" w:lineRule="auto"/>
        <w:ind w:right="-567"/>
        <w:jc w:val="both"/>
        <w:rPr>
          <w:rFonts w:ascii="Open Sans" w:eastAsia="Open Sans" w:hAnsi="Open Sans" w:cs="Open Sans"/>
          <w:color w:val="000000"/>
        </w:rPr>
      </w:pPr>
      <w:r>
        <w:rPr>
          <w:rFonts w:ascii="Open Sans" w:eastAsia="Open Sans" w:hAnsi="Open Sans" w:cs="Open Sans"/>
          <w:color w:val="000000"/>
        </w:rPr>
        <w:t>En el 81% de los 195 municipios analizados con variación interanual el precio de las viviendas en alquiler se ha incrementado respecto al año anterior. El orden de las de la</w:t>
      </w:r>
      <w:r w:rsidR="006B0804">
        <w:rPr>
          <w:rFonts w:ascii="Open Sans" w:eastAsia="Open Sans" w:hAnsi="Open Sans" w:cs="Open Sans"/>
          <w:color w:val="000000"/>
        </w:rPr>
        <w:t>s</w:t>
      </w:r>
      <w:r>
        <w:rPr>
          <w:rFonts w:ascii="Open Sans" w:eastAsia="Open Sans" w:hAnsi="Open Sans" w:cs="Open Sans"/>
          <w:color w:val="000000"/>
        </w:rPr>
        <w:t xml:space="preserve"> ciudades con incremento superior al 20% es:</w:t>
      </w:r>
      <w:r>
        <w:t xml:space="preserve"> </w:t>
      </w:r>
      <w:r>
        <w:rPr>
          <w:rFonts w:ascii="Open Sans" w:eastAsia="Open Sans" w:hAnsi="Open Sans" w:cs="Open Sans"/>
          <w:color w:val="000000"/>
        </w:rPr>
        <w:t xml:space="preserve">Ribeira (53,2%), Adra (47,3%), Elda (39,5%), Punta Umbría (35,2%), Cambrils (33,4%), Guadalajara capital (32,0%), Icod de los Vinos (31,0%), Castro-Urdiales (29,8%), Cuenca capital (27,7%), Ayamonte (27,3%), Almendralejo (24,6%), Salou (23,8%), Orihuela (23,5%), Santa Eulària des Riu (23,3%), Alcázar de San Juan (22,1%), Alcoy / Alcoi (21,8%), Mairena del Aljarafe (21,5%) y Águilas (20,9%). </w:t>
      </w:r>
    </w:p>
    <w:p w14:paraId="45BD8DB7" w14:textId="77777777" w:rsidR="000569D1" w:rsidRDefault="000569D1">
      <w:pPr>
        <w:spacing w:line="276" w:lineRule="auto"/>
        <w:ind w:right="-567"/>
        <w:jc w:val="both"/>
        <w:rPr>
          <w:rFonts w:ascii="Open Sans" w:eastAsia="Open Sans" w:hAnsi="Open Sans" w:cs="Open Sans"/>
          <w:color w:val="000000"/>
        </w:rPr>
      </w:pPr>
    </w:p>
    <w:p w14:paraId="13F28CE2" w14:textId="77777777" w:rsidR="000569D1" w:rsidRDefault="00000000">
      <w:pPr>
        <w:spacing w:line="276" w:lineRule="auto"/>
        <w:ind w:right="-567"/>
        <w:jc w:val="both"/>
        <w:rPr>
          <w:rFonts w:ascii="Open Sans" w:eastAsia="Open Sans" w:hAnsi="Open Sans" w:cs="Open Sans"/>
          <w:color w:val="000000"/>
        </w:rPr>
      </w:pPr>
      <w:r>
        <w:rPr>
          <w:rFonts w:ascii="Open Sans" w:eastAsia="Open Sans" w:hAnsi="Open Sans" w:cs="Open Sans"/>
          <w:color w:val="000000"/>
        </w:rPr>
        <w:t xml:space="preserve">Por otro lado, </w:t>
      </w:r>
      <w:r>
        <w:rPr>
          <w:rFonts w:ascii="Open Sans" w:eastAsia="Open Sans" w:hAnsi="Open Sans" w:cs="Open Sans"/>
          <w:b/>
          <w:bCs/>
          <w:color w:val="000000"/>
        </w:rPr>
        <w:t>las ciudades con los mayores descensos en un año son: Alcalá de Henares (-55,0%), San Javier (-24,2%), Burjassot (-22,9%), Barcelona capital (-22,3%), Laredo (-19,5%), Moncada (-19,1%), L'Hospitalet de Llobregat (-18,0%), Zafra (-13,7%), Torrent (-11,3%), Canet d'En Berenguer (-11,3%), Getafe (-11,2%), Sant Joan d'Alacant (-10,8%) y Madrid capital (-10,7%).</w:t>
      </w:r>
    </w:p>
    <w:p w14:paraId="5B13870D" w14:textId="77777777" w:rsidR="000569D1" w:rsidRDefault="000569D1">
      <w:pPr>
        <w:spacing w:line="276" w:lineRule="auto"/>
        <w:ind w:right="-567"/>
        <w:jc w:val="both"/>
        <w:rPr>
          <w:rFonts w:ascii="Open Sans" w:eastAsia="Open Sans" w:hAnsi="Open Sans" w:cs="Open Sans"/>
          <w:color w:val="000000"/>
        </w:rPr>
      </w:pPr>
    </w:p>
    <w:p w14:paraId="1730EC78" w14:textId="77777777" w:rsidR="000569D1" w:rsidRDefault="00000000">
      <w:pPr>
        <w:spacing w:line="276" w:lineRule="auto"/>
        <w:ind w:right="-567"/>
        <w:jc w:val="both"/>
        <w:rPr>
          <w:rFonts w:ascii="Open Sans" w:eastAsia="Open Sans" w:hAnsi="Open Sans" w:cs="Open Sans"/>
          <w:color w:val="000000"/>
        </w:rPr>
      </w:pPr>
      <w:r>
        <w:rPr>
          <w:rFonts w:ascii="Open Sans" w:eastAsia="Open Sans" w:hAnsi="Open Sans" w:cs="Open Sans"/>
          <w:color w:val="000000"/>
        </w:rPr>
        <w:t>En cuanto al precio por metro cuadrado en julio, vemos que 16 municipios de los 283 analizados (6%), sobrepasan los 20,00 €/m</w:t>
      </w:r>
      <w:r>
        <w:rPr>
          <w:rFonts w:ascii="Open Sans" w:eastAsia="Open Sans" w:hAnsi="Open Sans" w:cs="Open Sans"/>
          <w:color w:val="000000"/>
          <w:vertAlign w:val="superscript"/>
        </w:rPr>
        <w:t xml:space="preserve">2 </w:t>
      </w:r>
      <w:r>
        <w:rPr>
          <w:rFonts w:ascii="Open Sans" w:eastAsia="Open Sans" w:hAnsi="Open Sans" w:cs="Open Sans"/>
          <w:color w:val="000000"/>
        </w:rPr>
        <w:t>al mes y son: Esplugues de Llobregat con 24,74 €/m</w:t>
      </w:r>
      <w:r>
        <w:rPr>
          <w:rFonts w:ascii="Open Sans" w:eastAsia="Open Sans" w:hAnsi="Open Sans" w:cs="Open Sans"/>
          <w:color w:val="000000"/>
          <w:vertAlign w:val="superscript"/>
        </w:rPr>
        <w:t xml:space="preserve">2 </w:t>
      </w:r>
      <w:r>
        <w:rPr>
          <w:rFonts w:ascii="Open Sans" w:eastAsia="Open Sans" w:hAnsi="Open Sans" w:cs="Open Sans"/>
          <w:color w:val="000000"/>
        </w:rPr>
        <w:t>al mes, Santa Coloma de Gramenet con 23,96 €/m</w:t>
      </w:r>
      <w:r>
        <w:rPr>
          <w:rFonts w:ascii="Open Sans" w:eastAsia="Open Sans" w:hAnsi="Open Sans" w:cs="Open Sans"/>
          <w:color w:val="000000"/>
          <w:vertAlign w:val="superscript"/>
        </w:rPr>
        <w:t xml:space="preserve">2 </w:t>
      </w:r>
      <w:r>
        <w:rPr>
          <w:rFonts w:ascii="Open Sans" w:eastAsia="Open Sans" w:hAnsi="Open Sans" w:cs="Open Sans"/>
          <w:color w:val="000000"/>
        </w:rPr>
        <w:t>al mes, Eivissa con 23,32 €/m</w:t>
      </w:r>
      <w:r>
        <w:rPr>
          <w:rFonts w:ascii="Open Sans" w:eastAsia="Open Sans" w:hAnsi="Open Sans" w:cs="Open Sans"/>
          <w:color w:val="000000"/>
          <w:vertAlign w:val="superscript"/>
        </w:rPr>
        <w:t xml:space="preserve">2 </w:t>
      </w:r>
      <w:r>
        <w:rPr>
          <w:rFonts w:ascii="Open Sans" w:eastAsia="Open Sans" w:hAnsi="Open Sans" w:cs="Open Sans"/>
          <w:color w:val="000000"/>
        </w:rPr>
        <w:t>al mes,  Calvià con 23,17 €/m</w:t>
      </w:r>
      <w:r>
        <w:rPr>
          <w:rFonts w:ascii="Open Sans" w:eastAsia="Open Sans" w:hAnsi="Open Sans" w:cs="Open Sans"/>
          <w:color w:val="000000"/>
          <w:vertAlign w:val="superscript"/>
        </w:rPr>
        <w:t xml:space="preserve">2 </w:t>
      </w:r>
      <w:r>
        <w:rPr>
          <w:rFonts w:ascii="Open Sans" w:eastAsia="Open Sans" w:hAnsi="Open Sans" w:cs="Open Sans"/>
          <w:color w:val="000000"/>
        </w:rPr>
        <w:t>al mes, Santa Eulària des Riu con 23,05 €/m</w:t>
      </w:r>
      <w:r>
        <w:rPr>
          <w:rFonts w:ascii="Open Sans" w:eastAsia="Open Sans" w:hAnsi="Open Sans" w:cs="Open Sans"/>
          <w:color w:val="000000"/>
          <w:vertAlign w:val="superscript"/>
        </w:rPr>
        <w:t xml:space="preserve">2 </w:t>
      </w:r>
      <w:r>
        <w:rPr>
          <w:rFonts w:ascii="Open Sans" w:eastAsia="Open Sans" w:hAnsi="Open Sans" w:cs="Open Sans"/>
          <w:color w:val="000000"/>
        </w:rPr>
        <w:t>al mes, Mogán con 22,96 €/m</w:t>
      </w:r>
      <w:r>
        <w:rPr>
          <w:rFonts w:ascii="Open Sans" w:eastAsia="Open Sans" w:hAnsi="Open Sans" w:cs="Open Sans"/>
          <w:color w:val="000000"/>
          <w:vertAlign w:val="superscript"/>
        </w:rPr>
        <w:t xml:space="preserve">2 </w:t>
      </w:r>
      <w:r>
        <w:rPr>
          <w:rFonts w:ascii="Open Sans" w:eastAsia="Open Sans" w:hAnsi="Open Sans" w:cs="Open Sans"/>
          <w:color w:val="000000"/>
        </w:rPr>
        <w:t>al mes, San Bartolomé de Tirajana con 22,14 €/m</w:t>
      </w:r>
      <w:r>
        <w:rPr>
          <w:rFonts w:ascii="Open Sans" w:eastAsia="Open Sans" w:hAnsi="Open Sans" w:cs="Open Sans"/>
          <w:color w:val="000000"/>
          <w:vertAlign w:val="superscript"/>
        </w:rPr>
        <w:t xml:space="preserve">2 </w:t>
      </w:r>
      <w:r>
        <w:rPr>
          <w:rFonts w:ascii="Open Sans" w:eastAsia="Open Sans" w:hAnsi="Open Sans" w:cs="Open Sans"/>
          <w:color w:val="000000"/>
        </w:rPr>
        <w:t>al mes, Sant Antoni de Portmany con 21,80 €/m</w:t>
      </w:r>
      <w:r>
        <w:rPr>
          <w:rFonts w:ascii="Open Sans" w:eastAsia="Open Sans" w:hAnsi="Open Sans" w:cs="Open Sans"/>
          <w:color w:val="000000"/>
          <w:vertAlign w:val="superscript"/>
        </w:rPr>
        <w:t xml:space="preserve">2 </w:t>
      </w:r>
      <w:r>
        <w:rPr>
          <w:rFonts w:ascii="Open Sans" w:eastAsia="Open Sans" w:hAnsi="Open Sans" w:cs="Open Sans"/>
          <w:color w:val="000000"/>
        </w:rPr>
        <w:t>al mes, La Moraleja con 21,66 €/m</w:t>
      </w:r>
      <w:r>
        <w:rPr>
          <w:rFonts w:ascii="Open Sans" w:eastAsia="Open Sans" w:hAnsi="Open Sans" w:cs="Open Sans"/>
          <w:color w:val="000000"/>
          <w:vertAlign w:val="superscript"/>
        </w:rPr>
        <w:t xml:space="preserve">2 </w:t>
      </w:r>
      <w:r>
        <w:rPr>
          <w:rFonts w:ascii="Open Sans" w:eastAsia="Open Sans" w:hAnsi="Open Sans" w:cs="Open Sans"/>
          <w:color w:val="000000"/>
        </w:rPr>
        <w:t>al mes, Sitges con 21,33 €/m</w:t>
      </w:r>
      <w:r>
        <w:rPr>
          <w:rFonts w:ascii="Open Sans" w:eastAsia="Open Sans" w:hAnsi="Open Sans" w:cs="Open Sans"/>
          <w:color w:val="000000"/>
          <w:vertAlign w:val="superscript"/>
        </w:rPr>
        <w:t xml:space="preserve">2 </w:t>
      </w:r>
      <w:r>
        <w:rPr>
          <w:rFonts w:ascii="Open Sans" w:eastAsia="Open Sans" w:hAnsi="Open Sans" w:cs="Open Sans"/>
          <w:color w:val="000000"/>
        </w:rPr>
        <w:t>al mes, San Sebastián de los Reyes con 20,65 €/m</w:t>
      </w:r>
      <w:r>
        <w:rPr>
          <w:rFonts w:ascii="Open Sans" w:eastAsia="Open Sans" w:hAnsi="Open Sans" w:cs="Open Sans"/>
          <w:color w:val="000000"/>
          <w:vertAlign w:val="superscript"/>
        </w:rPr>
        <w:t xml:space="preserve">2 </w:t>
      </w:r>
      <w:r>
        <w:rPr>
          <w:rFonts w:ascii="Open Sans" w:eastAsia="Open Sans" w:hAnsi="Open Sans" w:cs="Open Sans"/>
          <w:color w:val="000000"/>
        </w:rPr>
        <w:t>al mes, Sant Cugat del Vallès con 20,65 €/m</w:t>
      </w:r>
      <w:r>
        <w:rPr>
          <w:rFonts w:ascii="Open Sans" w:eastAsia="Open Sans" w:hAnsi="Open Sans" w:cs="Open Sans"/>
          <w:color w:val="000000"/>
          <w:vertAlign w:val="superscript"/>
        </w:rPr>
        <w:t xml:space="preserve">2 </w:t>
      </w:r>
      <w:r>
        <w:rPr>
          <w:rFonts w:ascii="Open Sans" w:eastAsia="Open Sans" w:hAnsi="Open Sans" w:cs="Open Sans"/>
          <w:color w:val="000000"/>
        </w:rPr>
        <w:t>al mes, Arona con 20,65 €/m</w:t>
      </w:r>
      <w:r>
        <w:rPr>
          <w:rFonts w:ascii="Open Sans" w:eastAsia="Open Sans" w:hAnsi="Open Sans" w:cs="Open Sans"/>
          <w:color w:val="000000"/>
          <w:vertAlign w:val="superscript"/>
        </w:rPr>
        <w:t xml:space="preserve">2 </w:t>
      </w:r>
      <w:r>
        <w:rPr>
          <w:rFonts w:ascii="Open Sans" w:eastAsia="Open Sans" w:hAnsi="Open Sans" w:cs="Open Sans"/>
          <w:color w:val="000000"/>
        </w:rPr>
        <w:t>al mes, Guía de Isora con 20,31 €/m</w:t>
      </w:r>
      <w:r>
        <w:rPr>
          <w:rFonts w:ascii="Open Sans" w:eastAsia="Open Sans" w:hAnsi="Open Sans" w:cs="Open Sans"/>
          <w:color w:val="000000"/>
          <w:vertAlign w:val="superscript"/>
        </w:rPr>
        <w:t xml:space="preserve">2 </w:t>
      </w:r>
      <w:r>
        <w:rPr>
          <w:rFonts w:ascii="Open Sans" w:eastAsia="Open Sans" w:hAnsi="Open Sans" w:cs="Open Sans"/>
          <w:color w:val="000000"/>
        </w:rPr>
        <w:t>al mes, Donostia - San Sebastián con 20,13 €/m</w:t>
      </w:r>
      <w:r>
        <w:rPr>
          <w:rFonts w:ascii="Open Sans" w:eastAsia="Open Sans" w:hAnsi="Open Sans" w:cs="Open Sans"/>
          <w:color w:val="000000"/>
          <w:vertAlign w:val="superscript"/>
        </w:rPr>
        <w:t xml:space="preserve">2 </w:t>
      </w:r>
      <w:r>
        <w:rPr>
          <w:rFonts w:ascii="Open Sans" w:eastAsia="Open Sans" w:hAnsi="Open Sans" w:cs="Open Sans"/>
          <w:color w:val="000000"/>
        </w:rPr>
        <w:t>al mes y Sant Pere de Ribes con 20,06 €/m</w:t>
      </w:r>
      <w:r>
        <w:rPr>
          <w:rFonts w:ascii="Open Sans" w:eastAsia="Open Sans" w:hAnsi="Open Sans" w:cs="Open Sans"/>
          <w:color w:val="000000"/>
          <w:vertAlign w:val="superscript"/>
        </w:rPr>
        <w:t xml:space="preserve">2 </w:t>
      </w:r>
      <w:r>
        <w:rPr>
          <w:rFonts w:ascii="Open Sans" w:eastAsia="Open Sans" w:hAnsi="Open Sans" w:cs="Open Sans"/>
          <w:color w:val="000000"/>
        </w:rPr>
        <w:t>al mes.</w:t>
      </w:r>
    </w:p>
    <w:p w14:paraId="4AEC7CE7" w14:textId="77777777" w:rsidR="000569D1" w:rsidRDefault="000569D1">
      <w:pPr>
        <w:spacing w:line="276" w:lineRule="auto"/>
        <w:ind w:right="-567"/>
        <w:jc w:val="both"/>
      </w:pPr>
    </w:p>
    <w:p w14:paraId="6D80846E" w14:textId="77777777" w:rsidR="000569D1" w:rsidRDefault="00000000">
      <w:pPr>
        <w:spacing w:line="276" w:lineRule="auto"/>
        <w:ind w:right="-567"/>
        <w:jc w:val="both"/>
        <w:rPr>
          <w:rFonts w:ascii="Open Sans" w:eastAsia="Open Sans" w:hAnsi="Open Sans" w:cs="Open Sans"/>
          <w:b/>
          <w:bCs/>
          <w:color w:val="000000"/>
        </w:rPr>
      </w:pPr>
      <w:r>
        <w:rPr>
          <w:rFonts w:ascii="Open Sans" w:eastAsia="Open Sans" w:hAnsi="Open Sans" w:cs="Open Sans"/>
          <w:color w:val="000000"/>
        </w:rPr>
        <w:t xml:space="preserve">Por otro lado, </w:t>
      </w:r>
      <w:r>
        <w:rPr>
          <w:rFonts w:ascii="Open Sans" w:eastAsia="Open Sans" w:hAnsi="Open Sans" w:cs="Open Sans"/>
          <w:b/>
          <w:bCs/>
          <w:color w:val="000000"/>
        </w:rPr>
        <w:t>las cinco ciudades en donde el precio del alquiler por metro cuadrado más económico es: Baza con 4,90 €/m</w:t>
      </w:r>
      <w:r>
        <w:rPr>
          <w:rFonts w:ascii="Open Sans" w:eastAsia="Open Sans" w:hAnsi="Open Sans" w:cs="Open Sans"/>
          <w:b/>
          <w:bCs/>
          <w:color w:val="000000"/>
          <w:vertAlign w:val="superscript"/>
        </w:rPr>
        <w:t xml:space="preserve">2 </w:t>
      </w:r>
      <w:r>
        <w:rPr>
          <w:rFonts w:ascii="Open Sans" w:eastAsia="Open Sans" w:hAnsi="Open Sans" w:cs="Open Sans"/>
          <w:b/>
          <w:bCs/>
          <w:color w:val="000000"/>
        </w:rPr>
        <w:t>al mes, Baeza con 5,30 €/m</w:t>
      </w:r>
      <w:r>
        <w:rPr>
          <w:rFonts w:ascii="Open Sans" w:eastAsia="Open Sans" w:hAnsi="Open Sans" w:cs="Open Sans"/>
          <w:b/>
          <w:bCs/>
          <w:color w:val="000000"/>
          <w:vertAlign w:val="superscript"/>
        </w:rPr>
        <w:t xml:space="preserve">2 </w:t>
      </w:r>
      <w:r>
        <w:rPr>
          <w:rFonts w:ascii="Open Sans" w:eastAsia="Open Sans" w:hAnsi="Open Sans" w:cs="Open Sans"/>
          <w:b/>
          <w:bCs/>
          <w:color w:val="000000"/>
        </w:rPr>
        <w:t>al mes, Cazorla con 5,70 €/m</w:t>
      </w:r>
      <w:r>
        <w:rPr>
          <w:rFonts w:ascii="Open Sans" w:eastAsia="Open Sans" w:hAnsi="Open Sans" w:cs="Open Sans"/>
          <w:b/>
          <w:bCs/>
          <w:color w:val="000000"/>
          <w:vertAlign w:val="superscript"/>
        </w:rPr>
        <w:t xml:space="preserve">2 </w:t>
      </w:r>
      <w:r>
        <w:rPr>
          <w:rFonts w:ascii="Open Sans" w:eastAsia="Open Sans" w:hAnsi="Open Sans" w:cs="Open Sans"/>
          <w:b/>
          <w:bCs/>
          <w:color w:val="000000"/>
        </w:rPr>
        <w:t>al mes, Tudela de Duero con 5,79 €/m</w:t>
      </w:r>
      <w:r>
        <w:rPr>
          <w:rFonts w:ascii="Open Sans" w:eastAsia="Open Sans" w:hAnsi="Open Sans" w:cs="Open Sans"/>
          <w:b/>
          <w:bCs/>
          <w:color w:val="000000"/>
          <w:vertAlign w:val="superscript"/>
        </w:rPr>
        <w:t xml:space="preserve">2 </w:t>
      </w:r>
      <w:r>
        <w:rPr>
          <w:rFonts w:ascii="Open Sans" w:eastAsia="Open Sans" w:hAnsi="Open Sans" w:cs="Open Sans"/>
          <w:b/>
          <w:bCs/>
          <w:color w:val="000000"/>
        </w:rPr>
        <w:t>al mes y Alcalá de Henares con 5,91 €/m</w:t>
      </w:r>
      <w:r>
        <w:rPr>
          <w:rFonts w:ascii="Open Sans" w:eastAsia="Open Sans" w:hAnsi="Open Sans" w:cs="Open Sans"/>
          <w:b/>
          <w:bCs/>
          <w:color w:val="000000"/>
          <w:vertAlign w:val="superscript"/>
        </w:rPr>
        <w:t xml:space="preserve">2 </w:t>
      </w:r>
      <w:r>
        <w:rPr>
          <w:rFonts w:ascii="Open Sans" w:eastAsia="Open Sans" w:hAnsi="Open Sans" w:cs="Open Sans"/>
          <w:b/>
          <w:bCs/>
          <w:color w:val="000000"/>
        </w:rPr>
        <w:t>al mes.</w:t>
      </w:r>
    </w:p>
    <w:p w14:paraId="3D8EDF0B" w14:textId="77777777" w:rsidR="006B0804" w:rsidRDefault="006B0804">
      <w:pPr>
        <w:spacing w:line="276" w:lineRule="auto"/>
        <w:ind w:right="-567"/>
        <w:jc w:val="both"/>
        <w:rPr>
          <w:rFonts w:ascii="Open Sans" w:eastAsia="Open Sans" w:hAnsi="Open Sans" w:cs="Open Sans"/>
          <w:b/>
          <w:bCs/>
          <w:color w:val="000000"/>
        </w:rPr>
      </w:pPr>
    </w:p>
    <w:p w14:paraId="47C1D5EA" w14:textId="77777777" w:rsidR="006B0804" w:rsidRDefault="006B0804">
      <w:pPr>
        <w:spacing w:line="276" w:lineRule="auto"/>
        <w:ind w:right="-567"/>
        <w:jc w:val="both"/>
        <w:rPr>
          <w:rFonts w:ascii="Open Sans" w:eastAsia="Open Sans" w:hAnsi="Open Sans" w:cs="Open Sans"/>
          <w:b/>
          <w:bCs/>
          <w:color w:val="000000"/>
        </w:rPr>
      </w:pPr>
    </w:p>
    <w:p w14:paraId="735E258A" w14:textId="77777777" w:rsidR="006B0804" w:rsidRDefault="006B0804">
      <w:pPr>
        <w:spacing w:line="276" w:lineRule="auto"/>
        <w:ind w:right="-567"/>
        <w:jc w:val="both"/>
        <w:rPr>
          <w:rFonts w:ascii="Open Sans" w:eastAsia="Open Sans" w:hAnsi="Open Sans" w:cs="Open Sans"/>
          <w:b/>
          <w:bCs/>
          <w:color w:val="000000"/>
        </w:rPr>
      </w:pPr>
    </w:p>
    <w:p w14:paraId="23722584" w14:textId="77777777" w:rsidR="006B0804" w:rsidRDefault="006B0804">
      <w:pPr>
        <w:spacing w:line="276" w:lineRule="auto"/>
        <w:ind w:right="-567"/>
        <w:jc w:val="both"/>
        <w:rPr>
          <w:rFonts w:ascii="Open Sans" w:eastAsia="Open Sans" w:hAnsi="Open Sans" w:cs="Open Sans"/>
          <w:color w:val="000000"/>
        </w:rPr>
      </w:pPr>
    </w:p>
    <w:p w14:paraId="766559FB" w14:textId="77777777" w:rsidR="000569D1" w:rsidRDefault="00000000">
      <w:pPr>
        <w:pBdr>
          <w:top w:val="nil"/>
          <w:left w:val="nil"/>
          <w:bottom w:val="nil"/>
          <w:right w:val="nil"/>
          <w:between w:val="nil"/>
        </w:pBdr>
        <w:spacing w:before="280" w:after="280" w:line="276" w:lineRule="auto"/>
        <w:jc w:val="both"/>
        <w:rPr>
          <w:rFonts w:ascii="Open Sans" w:eastAsia="Open Sans" w:hAnsi="Open Sans" w:cs="Open Sans"/>
          <w:color w:val="000000"/>
        </w:rPr>
      </w:pPr>
      <w:r>
        <w:rPr>
          <w:rFonts w:ascii="Open Sans Light" w:eastAsia="Open Sans Light" w:hAnsi="Open Sans Light" w:cs="Open Sans Light"/>
          <w:b/>
          <w:bCs/>
          <w:color w:val="303AB2"/>
          <w:sz w:val="28"/>
          <w:szCs w:val="28"/>
        </w:rPr>
        <w:lastRenderedPageBreak/>
        <w:t>Municipios con mayor incremento interanual</w:t>
      </w:r>
    </w:p>
    <w:tbl>
      <w:tblPr>
        <w:tblStyle w:val="a2"/>
        <w:tblW w:w="8931" w:type="dxa"/>
        <w:tblInd w:w="-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1701"/>
        <w:gridCol w:w="1985"/>
        <w:gridCol w:w="1984"/>
        <w:gridCol w:w="1560"/>
        <w:gridCol w:w="1701"/>
      </w:tblGrid>
      <w:tr w:rsidR="000569D1" w14:paraId="1483B270" w14:textId="77777777" w:rsidTr="000569D1">
        <w:trPr>
          <w:cnfStyle w:val="100000000000" w:firstRow="1" w:lastRow="0" w:firstColumn="0" w:lastColumn="0" w:oddVBand="0" w:evenVBand="0" w:oddHBand="0"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1701" w:type="dxa"/>
            <w:vAlign w:val="center"/>
          </w:tcPr>
          <w:p w14:paraId="2939F349"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Provincia</w:t>
            </w:r>
          </w:p>
        </w:tc>
        <w:tc>
          <w:tcPr>
            <w:tcW w:w="1985" w:type="dxa"/>
            <w:vAlign w:val="center"/>
          </w:tcPr>
          <w:p w14:paraId="2F371029" w14:textId="77777777" w:rsidR="000569D1" w:rsidRDefault="00000000">
            <w:pP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b w:val="0"/>
                <w:bCs w:val="0"/>
                <w:sz w:val="22"/>
                <w:szCs w:val="22"/>
              </w:rPr>
              <w:t>Municipio</w:t>
            </w:r>
          </w:p>
        </w:tc>
        <w:tc>
          <w:tcPr>
            <w:tcW w:w="1984" w:type="dxa"/>
            <w:vAlign w:val="center"/>
          </w:tcPr>
          <w:p w14:paraId="6E73CA29" w14:textId="77777777" w:rsidR="000569D1" w:rsidRDefault="00000000">
            <w:pPr>
              <w:jc w:val="cente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b w:val="0"/>
                <w:bCs w:val="0"/>
                <w:sz w:val="22"/>
                <w:szCs w:val="22"/>
              </w:rPr>
              <w:t>Jul. 2026</w:t>
            </w:r>
          </w:p>
          <w:p w14:paraId="6B1F7BDB" w14:textId="77777777" w:rsidR="000569D1" w:rsidRDefault="00000000">
            <w:pPr>
              <w:jc w:val="cente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b w:val="0"/>
                <w:bCs w:val="0"/>
                <w:sz w:val="22"/>
                <w:szCs w:val="22"/>
              </w:rPr>
              <w:t>(€/m² al mes)</w:t>
            </w:r>
          </w:p>
        </w:tc>
        <w:tc>
          <w:tcPr>
            <w:tcW w:w="1560" w:type="dxa"/>
            <w:vAlign w:val="center"/>
          </w:tcPr>
          <w:p w14:paraId="31DF6F3B" w14:textId="77777777" w:rsidR="000569D1" w:rsidRDefault="00000000">
            <w:pPr>
              <w:jc w:val="cente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b w:val="0"/>
                <w:bCs w:val="0"/>
                <w:sz w:val="22"/>
                <w:szCs w:val="22"/>
              </w:rPr>
              <w:t>Variación mensual (%)</w:t>
            </w:r>
          </w:p>
        </w:tc>
        <w:tc>
          <w:tcPr>
            <w:tcW w:w="1701" w:type="dxa"/>
            <w:vAlign w:val="center"/>
          </w:tcPr>
          <w:p w14:paraId="63BAE8D9" w14:textId="77777777" w:rsidR="000569D1" w:rsidRDefault="00000000">
            <w:pPr>
              <w:jc w:val="cente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b w:val="0"/>
                <w:bCs w:val="0"/>
                <w:sz w:val="22"/>
                <w:szCs w:val="22"/>
              </w:rPr>
              <w:t>Variación interanual (%)</w:t>
            </w:r>
          </w:p>
        </w:tc>
      </w:tr>
      <w:tr w:rsidR="000569D1" w14:paraId="3576512F" w14:textId="77777777" w:rsidTr="000569D1">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1B6131DB"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A Coruña</w:t>
            </w:r>
          </w:p>
        </w:tc>
        <w:tc>
          <w:tcPr>
            <w:tcW w:w="1985" w:type="dxa"/>
            <w:vAlign w:val="bottom"/>
          </w:tcPr>
          <w:p w14:paraId="7AC256C0" w14:textId="77777777" w:rsidR="000569D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Ribeira</w:t>
            </w:r>
          </w:p>
        </w:tc>
        <w:tc>
          <w:tcPr>
            <w:tcW w:w="1984" w:type="dxa"/>
            <w:vAlign w:val="bottom"/>
          </w:tcPr>
          <w:p w14:paraId="0C870CCC"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9C0006"/>
                <w:sz w:val="22"/>
                <w:szCs w:val="22"/>
              </w:rPr>
            </w:pPr>
            <w:r>
              <w:rPr>
                <w:rFonts w:ascii="Open Sans" w:eastAsia="Open Sans" w:hAnsi="Open Sans" w:cs="Open Sans"/>
                <w:sz w:val="22"/>
                <w:szCs w:val="22"/>
              </w:rPr>
              <w:t>14,54 €</w:t>
            </w:r>
          </w:p>
        </w:tc>
        <w:tc>
          <w:tcPr>
            <w:tcW w:w="1560" w:type="dxa"/>
            <w:vAlign w:val="bottom"/>
          </w:tcPr>
          <w:p w14:paraId="3402AA21"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sz w:val="22"/>
                <w:szCs w:val="22"/>
              </w:rPr>
              <w:t>14,9%</w:t>
            </w:r>
          </w:p>
        </w:tc>
        <w:tc>
          <w:tcPr>
            <w:tcW w:w="1701" w:type="dxa"/>
            <w:vAlign w:val="bottom"/>
          </w:tcPr>
          <w:p w14:paraId="65457A6B"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sz w:val="22"/>
                <w:szCs w:val="22"/>
              </w:rPr>
              <w:t>53,2%</w:t>
            </w:r>
          </w:p>
        </w:tc>
      </w:tr>
      <w:tr w:rsidR="000569D1" w14:paraId="0C8D48B7" w14:textId="77777777" w:rsidTr="000569D1">
        <w:trPr>
          <w:trHeight w:val="21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17154AA6"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Almería</w:t>
            </w:r>
          </w:p>
        </w:tc>
        <w:tc>
          <w:tcPr>
            <w:tcW w:w="1985" w:type="dxa"/>
            <w:vAlign w:val="bottom"/>
          </w:tcPr>
          <w:p w14:paraId="26DD7C3A" w14:textId="77777777" w:rsidR="000569D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Adra</w:t>
            </w:r>
          </w:p>
        </w:tc>
        <w:tc>
          <w:tcPr>
            <w:tcW w:w="1984" w:type="dxa"/>
            <w:vAlign w:val="bottom"/>
          </w:tcPr>
          <w:p w14:paraId="19F38035"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sz w:val="22"/>
                <w:szCs w:val="22"/>
              </w:rPr>
              <w:t>15,51 €</w:t>
            </w:r>
          </w:p>
        </w:tc>
        <w:tc>
          <w:tcPr>
            <w:tcW w:w="1560" w:type="dxa"/>
            <w:vAlign w:val="bottom"/>
          </w:tcPr>
          <w:p w14:paraId="2D8A4181"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sz w:val="22"/>
                <w:szCs w:val="22"/>
              </w:rPr>
              <w:t>7,3%</w:t>
            </w:r>
          </w:p>
        </w:tc>
        <w:tc>
          <w:tcPr>
            <w:tcW w:w="1701" w:type="dxa"/>
            <w:vAlign w:val="bottom"/>
          </w:tcPr>
          <w:p w14:paraId="2BFFB9F2"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sz w:val="22"/>
                <w:szCs w:val="22"/>
              </w:rPr>
              <w:t>47,3%</w:t>
            </w:r>
          </w:p>
        </w:tc>
      </w:tr>
      <w:tr w:rsidR="000569D1" w14:paraId="16455866" w14:textId="77777777" w:rsidTr="000569D1">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232B591E"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Alicante</w:t>
            </w:r>
          </w:p>
        </w:tc>
        <w:tc>
          <w:tcPr>
            <w:tcW w:w="1985" w:type="dxa"/>
            <w:vAlign w:val="bottom"/>
          </w:tcPr>
          <w:p w14:paraId="5106960F" w14:textId="77777777" w:rsidR="000569D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Elda</w:t>
            </w:r>
          </w:p>
        </w:tc>
        <w:tc>
          <w:tcPr>
            <w:tcW w:w="1984" w:type="dxa"/>
            <w:vAlign w:val="bottom"/>
          </w:tcPr>
          <w:p w14:paraId="04B7A634"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9C0006"/>
                <w:sz w:val="22"/>
                <w:szCs w:val="22"/>
              </w:rPr>
            </w:pPr>
            <w:r>
              <w:rPr>
                <w:rFonts w:ascii="Open Sans" w:eastAsia="Open Sans" w:hAnsi="Open Sans" w:cs="Open Sans"/>
                <w:sz w:val="22"/>
                <w:szCs w:val="22"/>
              </w:rPr>
              <w:t>10,78 €</w:t>
            </w:r>
          </w:p>
        </w:tc>
        <w:tc>
          <w:tcPr>
            <w:tcW w:w="1560" w:type="dxa"/>
            <w:vAlign w:val="bottom"/>
          </w:tcPr>
          <w:p w14:paraId="146FC9D2"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sz w:val="22"/>
                <w:szCs w:val="22"/>
              </w:rPr>
              <w:t>15,2%</w:t>
            </w:r>
          </w:p>
        </w:tc>
        <w:tc>
          <w:tcPr>
            <w:tcW w:w="1701" w:type="dxa"/>
            <w:vAlign w:val="bottom"/>
          </w:tcPr>
          <w:p w14:paraId="1F9E4838"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sz w:val="22"/>
                <w:szCs w:val="22"/>
              </w:rPr>
              <w:t>39,5%</w:t>
            </w:r>
          </w:p>
        </w:tc>
      </w:tr>
      <w:tr w:rsidR="000569D1" w14:paraId="40B3D082" w14:textId="77777777" w:rsidTr="000569D1">
        <w:trPr>
          <w:trHeight w:val="21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7D5D028A"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Huelva</w:t>
            </w:r>
          </w:p>
        </w:tc>
        <w:tc>
          <w:tcPr>
            <w:tcW w:w="1985" w:type="dxa"/>
            <w:vAlign w:val="bottom"/>
          </w:tcPr>
          <w:p w14:paraId="74375EE4" w14:textId="77777777" w:rsidR="000569D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Punta Umbría</w:t>
            </w:r>
          </w:p>
        </w:tc>
        <w:tc>
          <w:tcPr>
            <w:tcW w:w="1984" w:type="dxa"/>
            <w:vAlign w:val="bottom"/>
          </w:tcPr>
          <w:p w14:paraId="0B404D4A"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sz w:val="22"/>
                <w:szCs w:val="22"/>
              </w:rPr>
              <w:t>15,44 €</w:t>
            </w:r>
          </w:p>
        </w:tc>
        <w:tc>
          <w:tcPr>
            <w:tcW w:w="1560" w:type="dxa"/>
            <w:vAlign w:val="bottom"/>
          </w:tcPr>
          <w:p w14:paraId="3CE1B81F"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sz w:val="22"/>
                <w:szCs w:val="22"/>
              </w:rPr>
              <w:t>2,3%</w:t>
            </w:r>
          </w:p>
        </w:tc>
        <w:tc>
          <w:tcPr>
            <w:tcW w:w="1701" w:type="dxa"/>
            <w:vAlign w:val="bottom"/>
          </w:tcPr>
          <w:p w14:paraId="3A61457E"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9C0006"/>
                <w:sz w:val="22"/>
                <w:szCs w:val="22"/>
              </w:rPr>
            </w:pPr>
            <w:r>
              <w:rPr>
                <w:rFonts w:ascii="Open Sans" w:eastAsia="Open Sans" w:hAnsi="Open Sans" w:cs="Open Sans"/>
                <w:b/>
                <w:bCs/>
                <w:sz w:val="22"/>
                <w:szCs w:val="22"/>
              </w:rPr>
              <w:t>35,2%</w:t>
            </w:r>
          </w:p>
        </w:tc>
      </w:tr>
      <w:tr w:rsidR="000569D1" w14:paraId="7F2167D2" w14:textId="77777777" w:rsidTr="000569D1">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4D52EDFB"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Tarragona</w:t>
            </w:r>
          </w:p>
        </w:tc>
        <w:tc>
          <w:tcPr>
            <w:tcW w:w="1985" w:type="dxa"/>
            <w:vAlign w:val="bottom"/>
          </w:tcPr>
          <w:p w14:paraId="01809F76" w14:textId="77777777" w:rsidR="000569D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Cambrils</w:t>
            </w:r>
          </w:p>
        </w:tc>
        <w:tc>
          <w:tcPr>
            <w:tcW w:w="1984" w:type="dxa"/>
            <w:vAlign w:val="bottom"/>
          </w:tcPr>
          <w:p w14:paraId="3E722D36"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sz w:val="22"/>
                <w:szCs w:val="22"/>
              </w:rPr>
              <w:t>15,31 €</w:t>
            </w:r>
          </w:p>
        </w:tc>
        <w:tc>
          <w:tcPr>
            <w:tcW w:w="1560" w:type="dxa"/>
            <w:vAlign w:val="bottom"/>
          </w:tcPr>
          <w:p w14:paraId="3D3D4510"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9C0006"/>
                <w:sz w:val="22"/>
                <w:szCs w:val="22"/>
              </w:rPr>
              <w:t>-12,3%</w:t>
            </w:r>
          </w:p>
        </w:tc>
        <w:tc>
          <w:tcPr>
            <w:tcW w:w="1701" w:type="dxa"/>
            <w:vAlign w:val="bottom"/>
          </w:tcPr>
          <w:p w14:paraId="728F50F3"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sz w:val="22"/>
                <w:szCs w:val="22"/>
              </w:rPr>
              <w:t>33,4%</w:t>
            </w:r>
          </w:p>
        </w:tc>
      </w:tr>
      <w:tr w:rsidR="000569D1" w14:paraId="4FC164FB" w14:textId="77777777" w:rsidTr="000569D1">
        <w:trPr>
          <w:trHeight w:val="21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3F98D2B5"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Guadalajara</w:t>
            </w:r>
          </w:p>
        </w:tc>
        <w:tc>
          <w:tcPr>
            <w:tcW w:w="1985" w:type="dxa"/>
            <w:vAlign w:val="bottom"/>
          </w:tcPr>
          <w:p w14:paraId="64D8477D" w14:textId="77777777" w:rsidR="000569D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Guadalajara capital</w:t>
            </w:r>
          </w:p>
        </w:tc>
        <w:tc>
          <w:tcPr>
            <w:tcW w:w="1984" w:type="dxa"/>
            <w:vAlign w:val="bottom"/>
          </w:tcPr>
          <w:p w14:paraId="583B692A"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sz w:val="22"/>
                <w:szCs w:val="22"/>
              </w:rPr>
              <w:t>13,38 €</w:t>
            </w:r>
          </w:p>
        </w:tc>
        <w:tc>
          <w:tcPr>
            <w:tcW w:w="1560" w:type="dxa"/>
            <w:vAlign w:val="bottom"/>
          </w:tcPr>
          <w:p w14:paraId="7A3E5987"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sz w:val="22"/>
                <w:szCs w:val="22"/>
              </w:rPr>
              <w:t>4,7%</w:t>
            </w:r>
          </w:p>
        </w:tc>
        <w:tc>
          <w:tcPr>
            <w:tcW w:w="1701" w:type="dxa"/>
            <w:vAlign w:val="bottom"/>
          </w:tcPr>
          <w:p w14:paraId="44FD981D"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sz w:val="22"/>
                <w:szCs w:val="22"/>
              </w:rPr>
              <w:t>32,0%</w:t>
            </w:r>
          </w:p>
        </w:tc>
      </w:tr>
      <w:tr w:rsidR="000569D1" w14:paraId="422E6080" w14:textId="77777777" w:rsidTr="000569D1">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494BBFDC"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Santa Cruz de Tenerife</w:t>
            </w:r>
          </w:p>
        </w:tc>
        <w:tc>
          <w:tcPr>
            <w:tcW w:w="1985" w:type="dxa"/>
            <w:vAlign w:val="bottom"/>
          </w:tcPr>
          <w:p w14:paraId="7A0C2A1E" w14:textId="77777777" w:rsidR="000569D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Icod de los Vinos</w:t>
            </w:r>
          </w:p>
        </w:tc>
        <w:tc>
          <w:tcPr>
            <w:tcW w:w="1984" w:type="dxa"/>
            <w:vAlign w:val="bottom"/>
          </w:tcPr>
          <w:p w14:paraId="3FB8C0E0"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11,80 €</w:t>
            </w:r>
          </w:p>
        </w:tc>
        <w:tc>
          <w:tcPr>
            <w:tcW w:w="1560" w:type="dxa"/>
            <w:vAlign w:val="bottom"/>
          </w:tcPr>
          <w:p w14:paraId="2DCC3482"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14,1%</w:t>
            </w:r>
          </w:p>
        </w:tc>
        <w:tc>
          <w:tcPr>
            <w:tcW w:w="1701" w:type="dxa"/>
            <w:vAlign w:val="bottom"/>
          </w:tcPr>
          <w:p w14:paraId="0E071E9F"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sz w:val="22"/>
                <w:szCs w:val="22"/>
              </w:rPr>
              <w:t>31,0%</w:t>
            </w:r>
          </w:p>
        </w:tc>
      </w:tr>
      <w:tr w:rsidR="000569D1" w14:paraId="7C06A8F1" w14:textId="77777777" w:rsidTr="000569D1">
        <w:trPr>
          <w:trHeight w:val="21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0838E4D2"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Cantabria</w:t>
            </w:r>
          </w:p>
        </w:tc>
        <w:tc>
          <w:tcPr>
            <w:tcW w:w="1985" w:type="dxa"/>
            <w:vAlign w:val="bottom"/>
          </w:tcPr>
          <w:p w14:paraId="09AF095C" w14:textId="77777777" w:rsidR="000569D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Castro-Urdiales</w:t>
            </w:r>
          </w:p>
        </w:tc>
        <w:tc>
          <w:tcPr>
            <w:tcW w:w="1984" w:type="dxa"/>
            <w:vAlign w:val="bottom"/>
          </w:tcPr>
          <w:p w14:paraId="1B06C353"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18,11 €</w:t>
            </w:r>
          </w:p>
        </w:tc>
        <w:tc>
          <w:tcPr>
            <w:tcW w:w="1560" w:type="dxa"/>
            <w:vAlign w:val="bottom"/>
          </w:tcPr>
          <w:p w14:paraId="6D8003C4"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0,5%</w:t>
            </w:r>
          </w:p>
        </w:tc>
        <w:tc>
          <w:tcPr>
            <w:tcW w:w="1701" w:type="dxa"/>
            <w:vAlign w:val="bottom"/>
          </w:tcPr>
          <w:p w14:paraId="631D7461"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sz w:val="22"/>
                <w:szCs w:val="22"/>
              </w:rPr>
              <w:t>29,8%</w:t>
            </w:r>
          </w:p>
        </w:tc>
      </w:tr>
      <w:tr w:rsidR="000569D1" w14:paraId="11824DA0" w14:textId="77777777" w:rsidTr="000569D1">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268C217C"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Cuenca</w:t>
            </w:r>
          </w:p>
        </w:tc>
        <w:tc>
          <w:tcPr>
            <w:tcW w:w="1985" w:type="dxa"/>
            <w:vAlign w:val="bottom"/>
          </w:tcPr>
          <w:p w14:paraId="68ED564E" w14:textId="77777777" w:rsidR="000569D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Cuenca capital</w:t>
            </w:r>
          </w:p>
        </w:tc>
        <w:tc>
          <w:tcPr>
            <w:tcW w:w="1984" w:type="dxa"/>
            <w:vAlign w:val="bottom"/>
          </w:tcPr>
          <w:p w14:paraId="7414DA61"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sz w:val="22"/>
                <w:szCs w:val="22"/>
              </w:rPr>
              <w:t>9,36 €</w:t>
            </w:r>
          </w:p>
        </w:tc>
        <w:tc>
          <w:tcPr>
            <w:tcW w:w="1560" w:type="dxa"/>
            <w:vAlign w:val="bottom"/>
          </w:tcPr>
          <w:p w14:paraId="5F0AB897"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sz w:val="22"/>
                <w:szCs w:val="22"/>
              </w:rPr>
              <w:t>1,1%</w:t>
            </w:r>
          </w:p>
        </w:tc>
        <w:tc>
          <w:tcPr>
            <w:tcW w:w="1701" w:type="dxa"/>
            <w:vAlign w:val="bottom"/>
          </w:tcPr>
          <w:p w14:paraId="395874B6"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sz w:val="22"/>
                <w:szCs w:val="22"/>
              </w:rPr>
              <w:t>27,7%</w:t>
            </w:r>
          </w:p>
        </w:tc>
      </w:tr>
      <w:tr w:rsidR="000569D1" w14:paraId="48808F19" w14:textId="77777777" w:rsidTr="000569D1">
        <w:trPr>
          <w:trHeight w:val="21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4EE8AEFE"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Huelva</w:t>
            </w:r>
          </w:p>
        </w:tc>
        <w:tc>
          <w:tcPr>
            <w:tcW w:w="1985" w:type="dxa"/>
            <w:vAlign w:val="bottom"/>
          </w:tcPr>
          <w:p w14:paraId="4F8E2522" w14:textId="77777777" w:rsidR="000569D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Ayamonte</w:t>
            </w:r>
          </w:p>
        </w:tc>
        <w:tc>
          <w:tcPr>
            <w:tcW w:w="1984" w:type="dxa"/>
            <w:vAlign w:val="bottom"/>
          </w:tcPr>
          <w:p w14:paraId="1B33618B"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sz w:val="22"/>
                <w:szCs w:val="22"/>
              </w:rPr>
              <w:t>12,41 €</w:t>
            </w:r>
          </w:p>
        </w:tc>
        <w:tc>
          <w:tcPr>
            <w:tcW w:w="1560" w:type="dxa"/>
            <w:vAlign w:val="bottom"/>
          </w:tcPr>
          <w:p w14:paraId="1D31E352"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sz w:val="22"/>
                <w:szCs w:val="22"/>
              </w:rPr>
              <w:t>2,1%</w:t>
            </w:r>
          </w:p>
        </w:tc>
        <w:tc>
          <w:tcPr>
            <w:tcW w:w="1701" w:type="dxa"/>
            <w:vAlign w:val="bottom"/>
          </w:tcPr>
          <w:p w14:paraId="1DEA81C1"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9C0006"/>
                <w:sz w:val="22"/>
                <w:szCs w:val="22"/>
              </w:rPr>
            </w:pPr>
            <w:r>
              <w:rPr>
                <w:rFonts w:ascii="Open Sans" w:eastAsia="Open Sans" w:hAnsi="Open Sans" w:cs="Open Sans"/>
                <w:b/>
                <w:bCs/>
                <w:sz w:val="22"/>
                <w:szCs w:val="22"/>
              </w:rPr>
              <w:t>27,3%</w:t>
            </w:r>
          </w:p>
        </w:tc>
      </w:tr>
    </w:tbl>
    <w:p w14:paraId="7D050AAA" w14:textId="77777777" w:rsidR="006B0804" w:rsidRDefault="006B0804">
      <w:pPr>
        <w:pBdr>
          <w:top w:val="nil"/>
          <w:left w:val="nil"/>
          <w:bottom w:val="nil"/>
          <w:right w:val="nil"/>
          <w:between w:val="nil"/>
        </w:pBdr>
        <w:spacing w:before="280" w:after="280" w:line="276" w:lineRule="auto"/>
        <w:jc w:val="both"/>
        <w:rPr>
          <w:rFonts w:ascii="Open Sans Light" w:eastAsia="Open Sans Light" w:hAnsi="Open Sans Light" w:cs="Open Sans Light"/>
          <w:b/>
          <w:bCs/>
          <w:color w:val="303AB2"/>
          <w:sz w:val="28"/>
          <w:szCs w:val="28"/>
        </w:rPr>
      </w:pPr>
    </w:p>
    <w:p w14:paraId="06FE7E96" w14:textId="6D15EBD4" w:rsidR="000569D1" w:rsidRDefault="00000000">
      <w:pPr>
        <w:pBdr>
          <w:top w:val="nil"/>
          <w:left w:val="nil"/>
          <w:bottom w:val="nil"/>
          <w:right w:val="nil"/>
          <w:between w:val="nil"/>
        </w:pBdr>
        <w:spacing w:before="280" w:after="280" w:line="276" w:lineRule="auto"/>
        <w:jc w:val="both"/>
        <w:rPr>
          <w:rFonts w:ascii="Open Sans" w:eastAsia="Open Sans" w:hAnsi="Open Sans" w:cs="Open Sans"/>
          <w:color w:val="000000"/>
        </w:rPr>
      </w:pPr>
      <w:r>
        <w:rPr>
          <w:rFonts w:ascii="Open Sans Light" w:eastAsia="Open Sans Light" w:hAnsi="Open Sans Light" w:cs="Open Sans Light"/>
          <w:b/>
          <w:bCs/>
          <w:color w:val="303AB2"/>
          <w:sz w:val="28"/>
          <w:szCs w:val="28"/>
        </w:rPr>
        <w:t>Municipios con descenso o menor incremento interanual</w:t>
      </w:r>
    </w:p>
    <w:tbl>
      <w:tblPr>
        <w:tblStyle w:val="a3"/>
        <w:tblW w:w="8931" w:type="dxa"/>
        <w:tblInd w:w="-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1701"/>
        <w:gridCol w:w="1985"/>
        <w:gridCol w:w="1984"/>
        <w:gridCol w:w="1560"/>
        <w:gridCol w:w="1701"/>
      </w:tblGrid>
      <w:tr w:rsidR="000569D1" w14:paraId="6E46EA9A" w14:textId="77777777" w:rsidTr="000569D1">
        <w:trPr>
          <w:cnfStyle w:val="100000000000" w:firstRow="1" w:lastRow="0" w:firstColumn="0" w:lastColumn="0" w:oddVBand="0" w:evenVBand="0" w:oddHBand="0"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1701" w:type="dxa"/>
            <w:vAlign w:val="center"/>
          </w:tcPr>
          <w:p w14:paraId="6C4B056D"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Provincia</w:t>
            </w:r>
          </w:p>
        </w:tc>
        <w:tc>
          <w:tcPr>
            <w:tcW w:w="1985" w:type="dxa"/>
            <w:vAlign w:val="center"/>
          </w:tcPr>
          <w:p w14:paraId="151C04A3" w14:textId="77777777" w:rsidR="000569D1" w:rsidRDefault="00000000">
            <w:pP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b w:val="0"/>
                <w:bCs w:val="0"/>
                <w:sz w:val="22"/>
                <w:szCs w:val="22"/>
              </w:rPr>
              <w:t>Municipio</w:t>
            </w:r>
          </w:p>
        </w:tc>
        <w:tc>
          <w:tcPr>
            <w:tcW w:w="1984" w:type="dxa"/>
            <w:vAlign w:val="center"/>
          </w:tcPr>
          <w:p w14:paraId="6EEA9331" w14:textId="77777777" w:rsidR="000569D1" w:rsidRDefault="00000000">
            <w:pPr>
              <w:jc w:val="cente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b w:val="0"/>
                <w:bCs w:val="0"/>
                <w:sz w:val="22"/>
                <w:szCs w:val="22"/>
              </w:rPr>
              <w:t>Jul. 2026</w:t>
            </w:r>
          </w:p>
          <w:p w14:paraId="381D9E8F" w14:textId="77777777" w:rsidR="000569D1" w:rsidRDefault="00000000">
            <w:pPr>
              <w:jc w:val="cente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b w:val="0"/>
                <w:bCs w:val="0"/>
                <w:sz w:val="22"/>
                <w:szCs w:val="22"/>
              </w:rPr>
              <w:t>(€/m² al mes)</w:t>
            </w:r>
          </w:p>
        </w:tc>
        <w:tc>
          <w:tcPr>
            <w:tcW w:w="1560" w:type="dxa"/>
            <w:vAlign w:val="center"/>
          </w:tcPr>
          <w:p w14:paraId="6358B32E" w14:textId="77777777" w:rsidR="000569D1" w:rsidRDefault="00000000">
            <w:pPr>
              <w:jc w:val="cente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b w:val="0"/>
                <w:bCs w:val="0"/>
                <w:sz w:val="22"/>
                <w:szCs w:val="22"/>
              </w:rPr>
              <w:t>Variación mensual (%)</w:t>
            </w:r>
          </w:p>
        </w:tc>
        <w:tc>
          <w:tcPr>
            <w:tcW w:w="1701" w:type="dxa"/>
            <w:vAlign w:val="center"/>
          </w:tcPr>
          <w:p w14:paraId="5CDEE6BE" w14:textId="77777777" w:rsidR="000569D1" w:rsidRDefault="00000000">
            <w:pPr>
              <w:jc w:val="cente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b w:val="0"/>
                <w:bCs w:val="0"/>
                <w:sz w:val="22"/>
                <w:szCs w:val="22"/>
              </w:rPr>
              <w:t>Variación interanual (%)</w:t>
            </w:r>
          </w:p>
        </w:tc>
      </w:tr>
      <w:tr w:rsidR="000569D1" w14:paraId="76CD21E7" w14:textId="77777777" w:rsidTr="000569D1">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31A2FF25"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Madrid</w:t>
            </w:r>
          </w:p>
        </w:tc>
        <w:tc>
          <w:tcPr>
            <w:tcW w:w="1985" w:type="dxa"/>
            <w:vAlign w:val="bottom"/>
          </w:tcPr>
          <w:p w14:paraId="5523092E" w14:textId="77777777" w:rsidR="000569D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Alcalá de Henares</w:t>
            </w:r>
          </w:p>
        </w:tc>
        <w:tc>
          <w:tcPr>
            <w:tcW w:w="1984" w:type="dxa"/>
            <w:vAlign w:val="bottom"/>
          </w:tcPr>
          <w:p w14:paraId="3C240247"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9C0006"/>
                <w:sz w:val="22"/>
                <w:szCs w:val="22"/>
              </w:rPr>
            </w:pPr>
            <w:r>
              <w:rPr>
                <w:rFonts w:ascii="Open Sans" w:eastAsia="Open Sans" w:hAnsi="Open Sans" w:cs="Open Sans"/>
                <w:sz w:val="22"/>
                <w:szCs w:val="22"/>
              </w:rPr>
              <w:t>5,91 €</w:t>
            </w:r>
          </w:p>
        </w:tc>
        <w:tc>
          <w:tcPr>
            <w:tcW w:w="1560" w:type="dxa"/>
            <w:vAlign w:val="bottom"/>
          </w:tcPr>
          <w:p w14:paraId="4C782C18"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9C0006"/>
                <w:sz w:val="22"/>
                <w:szCs w:val="22"/>
              </w:rPr>
              <w:t>-60,1%</w:t>
            </w:r>
          </w:p>
        </w:tc>
        <w:tc>
          <w:tcPr>
            <w:tcW w:w="1701" w:type="dxa"/>
            <w:vAlign w:val="bottom"/>
          </w:tcPr>
          <w:p w14:paraId="39406771"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9C0006"/>
                <w:sz w:val="22"/>
                <w:szCs w:val="22"/>
              </w:rPr>
              <w:t>-55,0%</w:t>
            </w:r>
          </w:p>
        </w:tc>
      </w:tr>
      <w:tr w:rsidR="000569D1" w14:paraId="4F47E32E" w14:textId="77777777" w:rsidTr="000569D1">
        <w:trPr>
          <w:trHeight w:val="21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369AA28A"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Murcia</w:t>
            </w:r>
          </w:p>
        </w:tc>
        <w:tc>
          <w:tcPr>
            <w:tcW w:w="1985" w:type="dxa"/>
            <w:vAlign w:val="bottom"/>
          </w:tcPr>
          <w:p w14:paraId="655A5947" w14:textId="77777777" w:rsidR="000569D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San Javier</w:t>
            </w:r>
          </w:p>
        </w:tc>
        <w:tc>
          <w:tcPr>
            <w:tcW w:w="1984" w:type="dxa"/>
            <w:vAlign w:val="bottom"/>
          </w:tcPr>
          <w:p w14:paraId="561FEE21"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sz w:val="22"/>
                <w:szCs w:val="22"/>
              </w:rPr>
              <w:t>12,19 €</w:t>
            </w:r>
          </w:p>
        </w:tc>
        <w:tc>
          <w:tcPr>
            <w:tcW w:w="1560" w:type="dxa"/>
            <w:vAlign w:val="bottom"/>
          </w:tcPr>
          <w:p w14:paraId="21FF5310"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9C0006"/>
                <w:sz w:val="22"/>
                <w:szCs w:val="22"/>
              </w:rPr>
              <w:t>-1,8%</w:t>
            </w:r>
          </w:p>
        </w:tc>
        <w:tc>
          <w:tcPr>
            <w:tcW w:w="1701" w:type="dxa"/>
            <w:vAlign w:val="bottom"/>
          </w:tcPr>
          <w:p w14:paraId="5B2255F1"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9C0006"/>
                <w:sz w:val="22"/>
                <w:szCs w:val="22"/>
              </w:rPr>
              <w:t>-24,2%</w:t>
            </w:r>
          </w:p>
        </w:tc>
      </w:tr>
      <w:tr w:rsidR="000569D1" w14:paraId="21488041" w14:textId="77777777" w:rsidTr="000569D1">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13E33361"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Valencia</w:t>
            </w:r>
          </w:p>
        </w:tc>
        <w:tc>
          <w:tcPr>
            <w:tcW w:w="1985" w:type="dxa"/>
            <w:vAlign w:val="bottom"/>
          </w:tcPr>
          <w:p w14:paraId="0E36D7A6" w14:textId="77777777" w:rsidR="000569D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Burjassot</w:t>
            </w:r>
          </w:p>
        </w:tc>
        <w:tc>
          <w:tcPr>
            <w:tcW w:w="1984" w:type="dxa"/>
            <w:vAlign w:val="bottom"/>
          </w:tcPr>
          <w:p w14:paraId="68FBB2C0"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9C0006"/>
                <w:sz w:val="22"/>
                <w:szCs w:val="22"/>
              </w:rPr>
            </w:pPr>
            <w:r>
              <w:rPr>
                <w:rFonts w:ascii="Open Sans" w:eastAsia="Open Sans" w:hAnsi="Open Sans" w:cs="Open Sans"/>
                <w:sz w:val="22"/>
                <w:szCs w:val="22"/>
              </w:rPr>
              <w:t>10,00 €</w:t>
            </w:r>
          </w:p>
        </w:tc>
        <w:tc>
          <w:tcPr>
            <w:tcW w:w="1560" w:type="dxa"/>
            <w:vAlign w:val="bottom"/>
          </w:tcPr>
          <w:p w14:paraId="1B05597A"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9C0006"/>
                <w:sz w:val="22"/>
                <w:szCs w:val="22"/>
              </w:rPr>
              <w:t>-23,2%</w:t>
            </w:r>
          </w:p>
        </w:tc>
        <w:tc>
          <w:tcPr>
            <w:tcW w:w="1701" w:type="dxa"/>
            <w:vAlign w:val="bottom"/>
          </w:tcPr>
          <w:p w14:paraId="37465C1C"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9C0006"/>
                <w:sz w:val="22"/>
                <w:szCs w:val="22"/>
              </w:rPr>
              <w:t>-22,9%</w:t>
            </w:r>
          </w:p>
        </w:tc>
      </w:tr>
      <w:tr w:rsidR="000569D1" w14:paraId="5F757B9F" w14:textId="77777777" w:rsidTr="000569D1">
        <w:trPr>
          <w:trHeight w:val="21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756D0E88"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Barcelona</w:t>
            </w:r>
          </w:p>
        </w:tc>
        <w:tc>
          <w:tcPr>
            <w:tcW w:w="1985" w:type="dxa"/>
            <w:vAlign w:val="bottom"/>
          </w:tcPr>
          <w:p w14:paraId="73D37E33" w14:textId="77777777" w:rsidR="000569D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Barcelona capital</w:t>
            </w:r>
          </w:p>
        </w:tc>
        <w:tc>
          <w:tcPr>
            <w:tcW w:w="1984" w:type="dxa"/>
            <w:vAlign w:val="bottom"/>
          </w:tcPr>
          <w:p w14:paraId="139D620A"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sz w:val="22"/>
                <w:szCs w:val="22"/>
              </w:rPr>
              <w:t>18,20 €</w:t>
            </w:r>
          </w:p>
        </w:tc>
        <w:tc>
          <w:tcPr>
            <w:tcW w:w="1560" w:type="dxa"/>
            <w:vAlign w:val="bottom"/>
          </w:tcPr>
          <w:p w14:paraId="17C6E8AF"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9C0006"/>
                <w:sz w:val="22"/>
                <w:szCs w:val="22"/>
              </w:rPr>
              <w:t>-16,2%</w:t>
            </w:r>
          </w:p>
        </w:tc>
        <w:tc>
          <w:tcPr>
            <w:tcW w:w="1701" w:type="dxa"/>
            <w:vAlign w:val="bottom"/>
          </w:tcPr>
          <w:p w14:paraId="44D94D40"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9C0006"/>
                <w:sz w:val="22"/>
                <w:szCs w:val="22"/>
              </w:rPr>
            </w:pPr>
            <w:r>
              <w:rPr>
                <w:rFonts w:ascii="Open Sans" w:eastAsia="Open Sans" w:hAnsi="Open Sans" w:cs="Open Sans"/>
                <w:b/>
                <w:bCs/>
                <w:color w:val="9C0006"/>
                <w:sz w:val="22"/>
                <w:szCs w:val="22"/>
              </w:rPr>
              <w:t>-22,3%</w:t>
            </w:r>
          </w:p>
        </w:tc>
      </w:tr>
      <w:tr w:rsidR="000569D1" w14:paraId="576A9881" w14:textId="77777777" w:rsidTr="000569D1">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391467C4"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Cantabria</w:t>
            </w:r>
          </w:p>
        </w:tc>
        <w:tc>
          <w:tcPr>
            <w:tcW w:w="1985" w:type="dxa"/>
            <w:vAlign w:val="bottom"/>
          </w:tcPr>
          <w:p w14:paraId="5EDD9E59" w14:textId="77777777" w:rsidR="000569D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Laredo</w:t>
            </w:r>
          </w:p>
        </w:tc>
        <w:tc>
          <w:tcPr>
            <w:tcW w:w="1984" w:type="dxa"/>
            <w:vAlign w:val="bottom"/>
          </w:tcPr>
          <w:p w14:paraId="7710957E"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sz w:val="22"/>
                <w:szCs w:val="22"/>
              </w:rPr>
              <w:t>16,70 €</w:t>
            </w:r>
          </w:p>
        </w:tc>
        <w:tc>
          <w:tcPr>
            <w:tcW w:w="1560" w:type="dxa"/>
            <w:vAlign w:val="bottom"/>
          </w:tcPr>
          <w:p w14:paraId="524408D2"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9C0006"/>
                <w:sz w:val="22"/>
                <w:szCs w:val="22"/>
              </w:rPr>
              <w:t>-18,7%</w:t>
            </w:r>
          </w:p>
        </w:tc>
        <w:tc>
          <w:tcPr>
            <w:tcW w:w="1701" w:type="dxa"/>
            <w:vAlign w:val="bottom"/>
          </w:tcPr>
          <w:p w14:paraId="1713387C"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9C0006"/>
                <w:sz w:val="22"/>
                <w:szCs w:val="22"/>
              </w:rPr>
              <w:t>-19,5%</w:t>
            </w:r>
          </w:p>
        </w:tc>
      </w:tr>
      <w:tr w:rsidR="000569D1" w14:paraId="01E1AEB3" w14:textId="77777777" w:rsidTr="000569D1">
        <w:trPr>
          <w:trHeight w:val="21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2F697431"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Valencia</w:t>
            </w:r>
          </w:p>
        </w:tc>
        <w:tc>
          <w:tcPr>
            <w:tcW w:w="1985" w:type="dxa"/>
            <w:vAlign w:val="bottom"/>
          </w:tcPr>
          <w:p w14:paraId="7B9B41C8" w14:textId="77777777" w:rsidR="000569D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Moncada</w:t>
            </w:r>
          </w:p>
        </w:tc>
        <w:tc>
          <w:tcPr>
            <w:tcW w:w="1984" w:type="dxa"/>
            <w:vAlign w:val="bottom"/>
          </w:tcPr>
          <w:p w14:paraId="0E378886"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sz w:val="22"/>
                <w:szCs w:val="22"/>
              </w:rPr>
              <w:t>11,32 €</w:t>
            </w:r>
          </w:p>
        </w:tc>
        <w:tc>
          <w:tcPr>
            <w:tcW w:w="1560" w:type="dxa"/>
            <w:vAlign w:val="bottom"/>
          </w:tcPr>
          <w:p w14:paraId="037D41B1"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9C0006"/>
                <w:sz w:val="22"/>
                <w:szCs w:val="22"/>
              </w:rPr>
              <w:t>-11,4%</w:t>
            </w:r>
          </w:p>
        </w:tc>
        <w:tc>
          <w:tcPr>
            <w:tcW w:w="1701" w:type="dxa"/>
            <w:vAlign w:val="bottom"/>
          </w:tcPr>
          <w:p w14:paraId="774DE1F0"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9C0006"/>
                <w:sz w:val="22"/>
                <w:szCs w:val="22"/>
              </w:rPr>
              <w:t>-19,1%</w:t>
            </w:r>
          </w:p>
        </w:tc>
      </w:tr>
      <w:tr w:rsidR="000569D1" w14:paraId="58244B6D" w14:textId="77777777" w:rsidTr="000569D1">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49F7BBE7"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Barcelona</w:t>
            </w:r>
          </w:p>
        </w:tc>
        <w:tc>
          <w:tcPr>
            <w:tcW w:w="1985" w:type="dxa"/>
            <w:vAlign w:val="bottom"/>
          </w:tcPr>
          <w:p w14:paraId="3FF07393" w14:textId="77777777" w:rsidR="000569D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L'Hospitalet de Llobregat</w:t>
            </w:r>
          </w:p>
        </w:tc>
        <w:tc>
          <w:tcPr>
            <w:tcW w:w="1984" w:type="dxa"/>
            <w:vAlign w:val="bottom"/>
          </w:tcPr>
          <w:p w14:paraId="068E930A"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17,81 €</w:t>
            </w:r>
          </w:p>
        </w:tc>
        <w:tc>
          <w:tcPr>
            <w:tcW w:w="1560" w:type="dxa"/>
            <w:vAlign w:val="bottom"/>
          </w:tcPr>
          <w:p w14:paraId="26ABA8CC"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-0,2%</w:t>
            </w:r>
          </w:p>
        </w:tc>
        <w:tc>
          <w:tcPr>
            <w:tcW w:w="1701" w:type="dxa"/>
            <w:vAlign w:val="bottom"/>
          </w:tcPr>
          <w:p w14:paraId="22775C7F"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9C0006"/>
                <w:sz w:val="22"/>
                <w:szCs w:val="22"/>
              </w:rPr>
              <w:t>-18,0%</w:t>
            </w:r>
          </w:p>
        </w:tc>
      </w:tr>
      <w:tr w:rsidR="000569D1" w14:paraId="28DD205B" w14:textId="77777777" w:rsidTr="000569D1">
        <w:trPr>
          <w:trHeight w:val="21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036E85E5"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Badajoz</w:t>
            </w:r>
          </w:p>
        </w:tc>
        <w:tc>
          <w:tcPr>
            <w:tcW w:w="1985" w:type="dxa"/>
            <w:vAlign w:val="bottom"/>
          </w:tcPr>
          <w:p w14:paraId="421347E1" w14:textId="77777777" w:rsidR="000569D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Zafra</w:t>
            </w:r>
          </w:p>
        </w:tc>
        <w:tc>
          <w:tcPr>
            <w:tcW w:w="1984" w:type="dxa"/>
            <w:vAlign w:val="bottom"/>
          </w:tcPr>
          <w:p w14:paraId="78B96A96"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6,09 €</w:t>
            </w:r>
          </w:p>
        </w:tc>
        <w:tc>
          <w:tcPr>
            <w:tcW w:w="1560" w:type="dxa"/>
            <w:vAlign w:val="bottom"/>
          </w:tcPr>
          <w:p w14:paraId="7C3AF340"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-11,0%</w:t>
            </w:r>
          </w:p>
        </w:tc>
        <w:tc>
          <w:tcPr>
            <w:tcW w:w="1701" w:type="dxa"/>
            <w:vAlign w:val="bottom"/>
          </w:tcPr>
          <w:p w14:paraId="7C92DAB4"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9C0006"/>
                <w:sz w:val="22"/>
                <w:szCs w:val="22"/>
              </w:rPr>
              <w:t>-13,7%</w:t>
            </w:r>
          </w:p>
        </w:tc>
      </w:tr>
      <w:tr w:rsidR="000569D1" w14:paraId="4D133591" w14:textId="77777777" w:rsidTr="000569D1">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462F0B5D"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Valencia</w:t>
            </w:r>
          </w:p>
        </w:tc>
        <w:tc>
          <w:tcPr>
            <w:tcW w:w="1985" w:type="dxa"/>
            <w:vAlign w:val="bottom"/>
          </w:tcPr>
          <w:p w14:paraId="15D3D37E" w14:textId="77777777" w:rsidR="000569D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Torrent</w:t>
            </w:r>
          </w:p>
        </w:tc>
        <w:tc>
          <w:tcPr>
            <w:tcW w:w="1984" w:type="dxa"/>
            <w:vAlign w:val="bottom"/>
          </w:tcPr>
          <w:p w14:paraId="7A65410B"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sz w:val="22"/>
                <w:szCs w:val="22"/>
              </w:rPr>
              <w:t>9,89 €</w:t>
            </w:r>
          </w:p>
        </w:tc>
        <w:tc>
          <w:tcPr>
            <w:tcW w:w="1560" w:type="dxa"/>
            <w:vAlign w:val="bottom"/>
          </w:tcPr>
          <w:p w14:paraId="197D2CA6"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9C0006"/>
                <w:sz w:val="22"/>
                <w:szCs w:val="22"/>
              </w:rPr>
              <w:t>-29,4%</w:t>
            </w:r>
          </w:p>
        </w:tc>
        <w:tc>
          <w:tcPr>
            <w:tcW w:w="1701" w:type="dxa"/>
            <w:vAlign w:val="bottom"/>
          </w:tcPr>
          <w:p w14:paraId="72269446"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9C0006"/>
                <w:sz w:val="22"/>
                <w:szCs w:val="22"/>
              </w:rPr>
              <w:t>-11,3%</w:t>
            </w:r>
          </w:p>
        </w:tc>
      </w:tr>
      <w:tr w:rsidR="000569D1" w14:paraId="388A5E6B" w14:textId="77777777" w:rsidTr="000569D1">
        <w:trPr>
          <w:trHeight w:val="21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74FAEA7E"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Valencia</w:t>
            </w:r>
          </w:p>
        </w:tc>
        <w:tc>
          <w:tcPr>
            <w:tcW w:w="1985" w:type="dxa"/>
            <w:vAlign w:val="bottom"/>
          </w:tcPr>
          <w:p w14:paraId="5902D66A" w14:textId="77777777" w:rsidR="000569D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Canet d'En Berenguer</w:t>
            </w:r>
          </w:p>
        </w:tc>
        <w:tc>
          <w:tcPr>
            <w:tcW w:w="1984" w:type="dxa"/>
            <w:vAlign w:val="bottom"/>
          </w:tcPr>
          <w:p w14:paraId="5CE8770C"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sz w:val="22"/>
                <w:szCs w:val="22"/>
              </w:rPr>
              <w:t>14,29 €</w:t>
            </w:r>
          </w:p>
        </w:tc>
        <w:tc>
          <w:tcPr>
            <w:tcW w:w="1560" w:type="dxa"/>
            <w:vAlign w:val="bottom"/>
          </w:tcPr>
          <w:p w14:paraId="5D2BFFB1"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9C0006"/>
                <w:sz w:val="22"/>
                <w:szCs w:val="22"/>
              </w:rPr>
              <w:t>-10,3%</w:t>
            </w:r>
          </w:p>
        </w:tc>
        <w:tc>
          <w:tcPr>
            <w:tcW w:w="1701" w:type="dxa"/>
            <w:vAlign w:val="bottom"/>
          </w:tcPr>
          <w:p w14:paraId="7BFD1E8F"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9C0006"/>
                <w:sz w:val="22"/>
                <w:szCs w:val="22"/>
              </w:rPr>
            </w:pPr>
            <w:r>
              <w:rPr>
                <w:rFonts w:ascii="Open Sans" w:eastAsia="Open Sans" w:hAnsi="Open Sans" w:cs="Open Sans"/>
                <w:b/>
                <w:bCs/>
                <w:color w:val="9C0006"/>
                <w:sz w:val="22"/>
                <w:szCs w:val="22"/>
              </w:rPr>
              <w:t>-11,3%</w:t>
            </w:r>
          </w:p>
        </w:tc>
      </w:tr>
    </w:tbl>
    <w:p w14:paraId="049E07F2" w14:textId="77777777" w:rsidR="006B0804" w:rsidRDefault="006B0804">
      <w:pPr>
        <w:pBdr>
          <w:top w:val="nil"/>
          <w:left w:val="nil"/>
          <w:bottom w:val="nil"/>
          <w:right w:val="nil"/>
          <w:between w:val="nil"/>
        </w:pBdr>
        <w:spacing w:before="280" w:after="280" w:line="276" w:lineRule="auto"/>
        <w:jc w:val="both"/>
        <w:rPr>
          <w:rFonts w:ascii="Open Sans Light" w:eastAsia="Open Sans Light" w:hAnsi="Open Sans Light" w:cs="Open Sans Light"/>
          <w:b/>
          <w:bCs/>
          <w:color w:val="303AB2"/>
          <w:sz w:val="28"/>
          <w:szCs w:val="28"/>
        </w:rPr>
      </w:pPr>
    </w:p>
    <w:p w14:paraId="46B991E3" w14:textId="77777777" w:rsidR="006B0804" w:rsidRDefault="006B0804">
      <w:pPr>
        <w:pBdr>
          <w:top w:val="nil"/>
          <w:left w:val="nil"/>
          <w:bottom w:val="nil"/>
          <w:right w:val="nil"/>
          <w:between w:val="nil"/>
        </w:pBdr>
        <w:spacing w:before="280" w:after="280" w:line="276" w:lineRule="auto"/>
        <w:jc w:val="both"/>
        <w:rPr>
          <w:rFonts w:ascii="Open Sans Light" w:eastAsia="Open Sans Light" w:hAnsi="Open Sans Light" w:cs="Open Sans Light"/>
          <w:b/>
          <w:bCs/>
          <w:color w:val="303AB2"/>
          <w:sz w:val="28"/>
          <w:szCs w:val="28"/>
        </w:rPr>
      </w:pPr>
    </w:p>
    <w:p w14:paraId="24A27A3A" w14:textId="77777777" w:rsidR="006B0804" w:rsidRDefault="006B0804">
      <w:pPr>
        <w:pBdr>
          <w:top w:val="nil"/>
          <w:left w:val="nil"/>
          <w:bottom w:val="nil"/>
          <w:right w:val="nil"/>
          <w:between w:val="nil"/>
        </w:pBdr>
        <w:spacing w:before="280" w:after="280" w:line="276" w:lineRule="auto"/>
        <w:jc w:val="both"/>
        <w:rPr>
          <w:rFonts w:ascii="Open Sans Light" w:eastAsia="Open Sans Light" w:hAnsi="Open Sans Light" w:cs="Open Sans Light"/>
          <w:b/>
          <w:bCs/>
          <w:color w:val="303AB2"/>
          <w:sz w:val="28"/>
          <w:szCs w:val="28"/>
        </w:rPr>
      </w:pPr>
    </w:p>
    <w:p w14:paraId="2F54FC20" w14:textId="581E7CB1" w:rsidR="000569D1" w:rsidRDefault="00000000">
      <w:pPr>
        <w:pBdr>
          <w:top w:val="nil"/>
          <w:left w:val="nil"/>
          <w:bottom w:val="nil"/>
          <w:right w:val="nil"/>
          <w:between w:val="nil"/>
        </w:pBdr>
        <w:spacing w:before="280" w:after="280" w:line="276" w:lineRule="auto"/>
        <w:jc w:val="both"/>
        <w:rPr>
          <w:rFonts w:ascii="Open Sans Light" w:eastAsia="Open Sans Light" w:hAnsi="Open Sans Light" w:cs="Open Sans Light"/>
          <w:b/>
          <w:bCs/>
          <w:color w:val="303AB2"/>
          <w:sz w:val="28"/>
          <w:szCs w:val="28"/>
        </w:rPr>
      </w:pPr>
      <w:r>
        <w:rPr>
          <w:rFonts w:ascii="Open Sans Light" w:eastAsia="Open Sans Light" w:hAnsi="Open Sans Light" w:cs="Open Sans Light"/>
          <w:b/>
          <w:bCs/>
          <w:color w:val="303AB2"/>
          <w:sz w:val="28"/>
          <w:szCs w:val="28"/>
        </w:rPr>
        <w:lastRenderedPageBreak/>
        <w:t xml:space="preserve">Municipios con mayor precio </w:t>
      </w:r>
    </w:p>
    <w:tbl>
      <w:tblPr>
        <w:tblStyle w:val="a4"/>
        <w:tblW w:w="8931" w:type="dxa"/>
        <w:tblInd w:w="-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1560"/>
        <w:gridCol w:w="1984"/>
        <w:gridCol w:w="1985"/>
        <w:gridCol w:w="1701"/>
        <w:gridCol w:w="1701"/>
      </w:tblGrid>
      <w:tr w:rsidR="000569D1" w14:paraId="38509341" w14:textId="77777777" w:rsidTr="000569D1">
        <w:trPr>
          <w:cnfStyle w:val="100000000000" w:firstRow="1" w:lastRow="0" w:firstColumn="0" w:lastColumn="0" w:oddVBand="0" w:evenVBand="0" w:oddHBand="0" w:evenHBand="0" w:firstRowFirstColumn="0" w:firstRowLastColumn="0" w:lastRowFirstColumn="0" w:lastRowLastColumn="0"/>
          <w:trHeight w:val="534"/>
        </w:trPr>
        <w:tc>
          <w:tcPr>
            <w:cnfStyle w:val="001000000000" w:firstRow="0" w:lastRow="0" w:firstColumn="1" w:lastColumn="0" w:oddVBand="0" w:evenVBand="0" w:oddHBand="0" w:evenHBand="0" w:firstRowFirstColumn="0" w:firstRowLastColumn="0" w:lastRowFirstColumn="0" w:lastRowLastColumn="0"/>
            <w:tcW w:w="1560" w:type="dxa"/>
            <w:vAlign w:val="center"/>
          </w:tcPr>
          <w:p w14:paraId="6A591583"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Provincia</w:t>
            </w:r>
          </w:p>
        </w:tc>
        <w:tc>
          <w:tcPr>
            <w:tcW w:w="1984" w:type="dxa"/>
            <w:vAlign w:val="center"/>
          </w:tcPr>
          <w:p w14:paraId="769B4423" w14:textId="77777777" w:rsidR="000569D1" w:rsidRDefault="00000000">
            <w:pP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b w:val="0"/>
                <w:bCs w:val="0"/>
                <w:sz w:val="22"/>
                <w:szCs w:val="22"/>
              </w:rPr>
              <w:t>Municipio</w:t>
            </w:r>
          </w:p>
        </w:tc>
        <w:tc>
          <w:tcPr>
            <w:tcW w:w="1985" w:type="dxa"/>
            <w:vAlign w:val="center"/>
          </w:tcPr>
          <w:p w14:paraId="3D91F517" w14:textId="77777777" w:rsidR="000569D1" w:rsidRDefault="00000000">
            <w:pPr>
              <w:jc w:val="cente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b w:val="0"/>
                <w:bCs w:val="0"/>
                <w:sz w:val="22"/>
                <w:szCs w:val="22"/>
              </w:rPr>
              <w:t>Jul. 2026</w:t>
            </w:r>
          </w:p>
          <w:p w14:paraId="23744F4B" w14:textId="77777777" w:rsidR="000569D1" w:rsidRDefault="00000000">
            <w:pPr>
              <w:jc w:val="cente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b w:val="0"/>
                <w:bCs w:val="0"/>
                <w:sz w:val="22"/>
                <w:szCs w:val="22"/>
              </w:rPr>
              <w:t>(€/m² al mes)</w:t>
            </w:r>
          </w:p>
        </w:tc>
        <w:tc>
          <w:tcPr>
            <w:tcW w:w="1701" w:type="dxa"/>
            <w:vAlign w:val="center"/>
          </w:tcPr>
          <w:p w14:paraId="4012C537" w14:textId="77777777" w:rsidR="000569D1" w:rsidRDefault="00000000">
            <w:pPr>
              <w:jc w:val="cente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b w:val="0"/>
                <w:bCs w:val="0"/>
                <w:sz w:val="22"/>
                <w:szCs w:val="22"/>
              </w:rPr>
              <w:t>Variación mensual (%)</w:t>
            </w:r>
          </w:p>
        </w:tc>
        <w:tc>
          <w:tcPr>
            <w:tcW w:w="1701" w:type="dxa"/>
            <w:vAlign w:val="center"/>
          </w:tcPr>
          <w:p w14:paraId="2B24A812" w14:textId="77777777" w:rsidR="000569D1" w:rsidRDefault="00000000">
            <w:pPr>
              <w:jc w:val="cente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b w:val="0"/>
                <w:bCs w:val="0"/>
                <w:sz w:val="22"/>
                <w:szCs w:val="22"/>
              </w:rPr>
              <w:t>Variación interanual (%)</w:t>
            </w:r>
          </w:p>
        </w:tc>
      </w:tr>
      <w:tr w:rsidR="000569D1" w14:paraId="506E137A" w14:textId="77777777" w:rsidTr="000569D1">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1560" w:type="dxa"/>
            <w:vAlign w:val="bottom"/>
          </w:tcPr>
          <w:p w14:paraId="062E00DB"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Barcelona</w:t>
            </w:r>
          </w:p>
        </w:tc>
        <w:tc>
          <w:tcPr>
            <w:tcW w:w="1984" w:type="dxa"/>
            <w:vAlign w:val="bottom"/>
          </w:tcPr>
          <w:p w14:paraId="2DE375AD" w14:textId="77777777" w:rsidR="000569D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Esplugues de Llobregat</w:t>
            </w:r>
          </w:p>
        </w:tc>
        <w:tc>
          <w:tcPr>
            <w:tcW w:w="1985" w:type="dxa"/>
            <w:vAlign w:val="bottom"/>
          </w:tcPr>
          <w:p w14:paraId="0A263675"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sz w:val="22"/>
                <w:szCs w:val="22"/>
              </w:rPr>
              <w:t>24,74 €</w:t>
            </w:r>
          </w:p>
        </w:tc>
        <w:tc>
          <w:tcPr>
            <w:tcW w:w="1701" w:type="dxa"/>
            <w:vAlign w:val="bottom"/>
          </w:tcPr>
          <w:p w14:paraId="7703DA5A"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9C0006"/>
                <w:sz w:val="22"/>
                <w:szCs w:val="22"/>
              </w:rPr>
            </w:pPr>
            <w:r>
              <w:rPr>
                <w:rFonts w:ascii="Open Sans" w:eastAsia="Open Sans" w:hAnsi="Open Sans" w:cs="Open Sans"/>
                <w:sz w:val="22"/>
                <w:szCs w:val="22"/>
              </w:rPr>
              <w:t>2,8%</w:t>
            </w:r>
          </w:p>
        </w:tc>
        <w:tc>
          <w:tcPr>
            <w:tcW w:w="1701" w:type="dxa"/>
            <w:vAlign w:val="bottom"/>
          </w:tcPr>
          <w:p w14:paraId="69DCA335"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sz w:val="22"/>
                <w:szCs w:val="22"/>
              </w:rPr>
              <w:t>0,8%</w:t>
            </w:r>
          </w:p>
        </w:tc>
      </w:tr>
      <w:tr w:rsidR="000569D1" w14:paraId="298AE06D" w14:textId="77777777" w:rsidTr="000569D1">
        <w:trPr>
          <w:trHeight w:val="212"/>
        </w:trPr>
        <w:tc>
          <w:tcPr>
            <w:cnfStyle w:val="001000000000" w:firstRow="0" w:lastRow="0" w:firstColumn="1" w:lastColumn="0" w:oddVBand="0" w:evenVBand="0" w:oddHBand="0" w:evenHBand="0" w:firstRowFirstColumn="0" w:firstRowLastColumn="0" w:lastRowFirstColumn="0" w:lastRowLastColumn="0"/>
            <w:tcW w:w="1560" w:type="dxa"/>
            <w:vAlign w:val="bottom"/>
          </w:tcPr>
          <w:p w14:paraId="29EE0663"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Barcelona</w:t>
            </w:r>
          </w:p>
        </w:tc>
        <w:tc>
          <w:tcPr>
            <w:tcW w:w="1984" w:type="dxa"/>
            <w:vAlign w:val="bottom"/>
          </w:tcPr>
          <w:p w14:paraId="2B77E05A" w14:textId="77777777" w:rsidR="000569D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Santa Coloma de Gramenet</w:t>
            </w:r>
          </w:p>
        </w:tc>
        <w:tc>
          <w:tcPr>
            <w:tcW w:w="1985" w:type="dxa"/>
            <w:vAlign w:val="bottom"/>
          </w:tcPr>
          <w:p w14:paraId="30E6B51D"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sz w:val="22"/>
                <w:szCs w:val="22"/>
              </w:rPr>
              <w:t>23,96 €</w:t>
            </w:r>
          </w:p>
        </w:tc>
        <w:tc>
          <w:tcPr>
            <w:tcW w:w="1701" w:type="dxa"/>
            <w:vAlign w:val="bottom"/>
          </w:tcPr>
          <w:p w14:paraId="1DBED9E7"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sz w:val="22"/>
                <w:szCs w:val="22"/>
              </w:rPr>
              <w:t>3,9%</w:t>
            </w:r>
          </w:p>
        </w:tc>
        <w:tc>
          <w:tcPr>
            <w:tcW w:w="1701" w:type="dxa"/>
            <w:vAlign w:val="bottom"/>
          </w:tcPr>
          <w:p w14:paraId="3DBA2785" w14:textId="77777777" w:rsidR="000569D1" w:rsidRDefault="000569D1">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p>
        </w:tc>
      </w:tr>
      <w:tr w:rsidR="000569D1" w14:paraId="2179A08A" w14:textId="77777777" w:rsidTr="000569D1">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1560" w:type="dxa"/>
            <w:vAlign w:val="bottom"/>
          </w:tcPr>
          <w:p w14:paraId="4FD07789"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Illes Balears</w:t>
            </w:r>
          </w:p>
        </w:tc>
        <w:tc>
          <w:tcPr>
            <w:tcW w:w="1984" w:type="dxa"/>
            <w:vAlign w:val="bottom"/>
          </w:tcPr>
          <w:p w14:paraId="0B86969E" w14:textId="77777777" w:rsidR="000569D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Eivissa</w:t>
            </w:r>
          </w:p>
        </w:tc>
        <w:tc>
          <w:tcPr>
            <w:tcW w:w="1985" w:type="dxa"/>
            <w:vAlign w:val="bottom"/>
          </w:tcPr>
          <w:p w14:paraId="454CE8B1"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sz w:val="22"/>
                <w:szCs w:val="22"/>
              </w:rPr>
              <w:t>23,32 €</w:t>
            </w:r>
          </w:p>
        </w:tc>
        <w:tc>
          <w:tcPr>
            <w:tcW w:w="1701" w:type="dxa"/>
            <w:vAlign w:val="bottom"/>
          </w:tcPr>
          <w:p w14:paraId="3287981B" w14:textId="77777777" w:rsidR="000569D1" w:rsidRDefault="000569D1">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9C0006"/>
                <w:sz w:val="22"/>
                <w:szCs w:val="22"/>
              </w:rPr>
            </w:pPr>
          </w:p>
        </w:tc>
        <w:tc>
          <w:tcPr>
            <w:tcW w:w="1701" w:type="dxa"/>
            <w:vAlign w:val="bottom"/>
          </w:tcPr>
          <w:p w14:paraId="16E31A6E"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sz w:val="22"/>
                <w:szCs w:val="22"/>
              </w:rPr>
              <w:t>8,5%</w:t>
            </w:r>
          </w:p>
        </w:tc>
      </w:tr>
      <w:tr w:rsidR="000569D1" w14:paraId="1E15CA7B" w14:textId="77777777" w:rsidTr="000569D1">
        <w:trPr>
          <w:trHeight w:val="212"/>
        </w:trPr>
        <w:tc>
          <w:tcPr>
            <w:cnfStyle w:val="001000000000" w:firstRow="0" w:lastRow="0" w:firstColumn="1" w:lastColumn="0" w:oddVBand="0" w:evenVBand="0" w:oddHBand="0" w:evenHBand="0" w:firstRowFirstColumn="0" w:firstRowLastColumn="0" w:lastRowFirstColumn="0" w:lastRowLastColumn="0"/>
            <w:tcW w:w="1560" w:type="dxa"/>
            <w:vAlign w:val="bottom"/>
          </w:tcPr>
          <w:p w14:paraId="521098E9"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Illes Balears</w:t>
            </w:r>
          </w:p>
        </w:tc>
        <w:tc>
          <w:tcPr>
            <w:tcW w:w="1984" w:type="dxa"/>
            <w:vAlign w:val="bottom"/>
          </w:tcPr>
          <w:p w14:paraId="61C7071F" w14:textId="77777777" w:rsidR="000569D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Calvià</w:t>
            </w:r>
          </w:p>
        </w:tc>
        <w:tc>
          <w:tcPr>
            <w:tcW w:w="1985" w:type="dxa"/>
            <w:vAlign w:val="bottom"/>
          </w:tcPr>
          <w:p w14:paraId="2B69205B"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sz w:val="22"/>
                <w:szCs w:val="22"/>
              </w:rPr>
              <w:t>23,17 €</w:t>
            </w:r>
          </w:p>
        </w:tc>
        <w:tc>
          <w:tcPr>
            <w:tcW w:w="1701" w:type="dxa"/>
            <w:vAlign w:val="bottom"/>
          </w:tcPr>
          <w:p w14:paraId="7B0B12B4"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9C0006"/>
                <w:sz w:val="22"/>
                <w:szCs w:val="22"/>
              </w:rPr>
              <w:t>-6,0%</w:t>
            </w:r>
          </w:p>
        </w:tc>
        <w:tc>
          <w:tcPr>
            <w:tcW w:w="1701" w:type="dxa"/>
            <w:vAlign w:val="bottom"/>
          </w:tcPr>
          <w:p w14:paraId="72D986D0"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sz w:val="22"/>
                <w:szCs w:val="22"/>
              </w:rPr>
              <w:t>0,7%</w:t>
            </w:r>
          </w:p>
        </w:tc>
      </w:tr>
      <w:tr w:rsidR="000569D1" w14:paraId="6395AFC8" w14:textId="77777777" w:rsidTr="000569D1">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1560" w:type="dxa"/>
            <w:vAlign w:val="bottom"/>
          </w:tcPr>
          <w:p w14:paraId="4505A055"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Illes Balears</w:t>
            </w:r>
          </w:p>
        </w:tc>
        <w:tc>
          <w:tcPr>
            <w:tcW w:w="1984" w:type="dxa"/>
            <w:vAlign w:val="bottom"/>
          </w:tcPr>
          <w:p w14:paraId="03E4B9F2" w14:textId="77777777" w:rsidR="000569D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Santa Eulària des Riu</w:t>
            </w:r>
          </w:p>
        </w:tc>
        <w:tc>
          <w:tcPr>
            <w:tcW w:w="1985" w:type="dxa"/>
            <w:vAlign w:val="bottom"/>
          </w:tcPr>
          <w:p w14:paraId="78BE1CF4"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sz w:val="22"/>
                <w:szCs w:val="22"/>
              </w:rPr>
              <w:t>23,05 €</w:t>
            </w:r>
          </w:p>
        </w:tc>
        <w:tc>
          <w:tcPr>
            <w:tcW w:w="1701" w:type="dxa"/>
            <w:vAlign w:val="bottom"/>
          </w:tcPr>
          <w:p w14:paraId="3069A4A4"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9C0006"/>
                <w:sz w:val="22"/>
                <w:szCs w:val="22"/>
              </w:rPr>
              <w:t>-2,0%</w:t>
            </w:r>
          </w:p>
        </w:tc>
        <w:tc>
          <w:tcPr>
            <w:tcW w:w="1701" w:type="dxa"/>
            <w:vAlign w:val="bottom"/>
          </w:tcPr>
          <w:p w14:paraId="5FDE05E9"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sz w:val="22"/>
                <w:szCs w:val="22"/>
              </w:rPr>
              <w:t>23,3%</w:t>
            </w:r>
          </w:p>
        </w:tc>
      </w:tr>
      <w:tr w:rsidR="000569D1" w14:paraId="48FB55D3" w14:textId="77777777" w:rsidTr="000569D1">
        <w:trPr>
          <w:trHeight w:val="212"/>
        </w:trPr>
        <w:tc>
          <w:tcPr>
            <w:cnfStyle w:val="001000000000" w:firstRow="0" w:lastRow="0" w:firstColumn="1" w:lastColumn="0" w:oddVBand="0" w:evenVBand="0" w:oddHBand="0" w:evenHBand="0" w:firstRowFirstColumn="0" w:firstRowLastColumn="0" w:lastRowFirstColumn="0" w:lastRowLastColumn="0"/>
            <w:tcW w:w="1560" w:type="dxa"/>
            <w:vAlign w:val="bottom"/>
          </w:tcPr>
          <w:p w14:paraId="00857A54"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Las Palmas</w:t>
            </w:r>
          </w:p>
        </w:tc>
        <w:tc>
          <w:tcPr>
            <w:tcW w:w="1984" w:type="dxa"/>
            <w:vAlign w:val="bottom"/>
          </w:tcPr>
          <w:p w14:paraId="1BB2A6DC" w14:textId="77777777" w:rsidR="000569D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Mogán</w:t>
            </w:r>
          </w:p>
        </w:tc>
        <w:tc>
          <w:tcPr>
            <w:tcW w:w="1985" w:type="dxa"/>
            <w:vAlign w:val="bottom"/>
          </w:tcPr>
          <w:p w14:paraId="2FB7FE32"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sz w:val="22"/>
                <w:szCs w:val="22"/>
              </w:rPr>
              <w:t>22,96 €</w:t>
            </w:r>
          </w:p>
        </w:tc>
        <w:tc>
          <w:tcPr>
            <w:tcW w:w="1701" w:type="dxa"/>
            <w:vAlign w:val="bottom"/>
          </w:tcPr>
          <w:p w14:paraId="409F92F4"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sz w:val="22"/>
                <w:szCs w:val="22"/>
              </w:rPr>
              <w:t>6,5%</w:t>
            </w:r>
          </w:p>
        </w:tc>
        <w:tc>
          <w:tcPr>
            <w:tcW w:w="1701" w:type="dxa"/>
            <w:vAlign w:val="bottom"/>
          </w:tcPr>
          <w:p w14:paraId="44D5611C" w14:textId="77777777" w:rsidR="000569D1" w:rsidRDefault="000569D1">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p>
        </w:tc>
      </w:tr>
      <w:tr w:rsidR="000569D1" w14:paraId="011AF3F4" w14:textId="77777777" w:rsidTr="000569D1">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1560" w:type="dxa"/>
            <w:vAlign w:val="bottom"/>
          </w:tcPr>
          <w:p w14:paraId="6D1853A5"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Las Palmas</w:t>
            </w:r>
          </w:p>
        </w:tc>
        <w:tc>
          <w:tcPr>
            <w:tcW w:w="1984" w:type="dxa"/>
            <w:vAlign w:val="bottom"/>
          </w:tcPr>
          <w:p w14:paraId="594DD288" w14:textId="77777777" w:rsidR="000569D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San Bartolomé de Tirajana</w:t>
            </w:r>
          </w:p>
        </w:tc>
        <w:tc>
          <w:tcPr>
            <w:tcW w:w="1985" w:type="dxa"/>
            <w:vAlign w:val="bottom"/>
          </w:tcPr>
          <w:p w14:paraId="19929356"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sz w:val="22"/>
                <w:szCs w:val="22"/>
              </w:rPr>
              <w:t>22,14 €</w:t>
            </w:r>
          </w:p>
        </w:tc>
        <w:tc>
          <w:tcPr>
            <w:tcW w:w="1701" w:type="dxa"/>
            <w:vAlign w:val="bottom"/>
          </w:tcPr>
          <w:p w14:paraId="272AFB3F"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3,0%</w:t>
            </w:r>
          </w:p>
        </w:tc>
        <w:tc>
          <w:tcPr>
            <w:tcW w:w="1701" w:type="dxa"/>
            <w:vAlign w:val="bottom"/>
          </w:tcPr>
          <w:p w14:paraId="36F571C9"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6,1%</w:t>
            </w:r>
          </w:p>
        </w:tc>
      </w:tr>
      <w:tr w:rsidR="000569D1" w14:paraId="621A4574" w14:textId="77777777" w:rsidTr="000569D1">
        <w:trPr>
          <w:trHeight w:val="212"/>
        </w:trPr>
        <w:tc>
          <w:tcPr>
            <w:cnfStyle w:val="001000000000" w:firstRow="0" w:lastRow="0" w:firstColumn="1" w:lastColumn="0" w:oddVBand="0" w:evenVBand="0" w:oddHBand="0" w:evenHBand="0" w:firstRowFirstColumn="0" w:firstRowLastColumn="0" w:lastRowFirstColumn="0" w:lastRowLastColumn="0"/>
            <w:tcW w:w="1560" w:type="dxa"/>
            <w:vAlign w:val="bottom"/>
          </w:tcPr>
          <w:p w14:paraId="020D9982"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Illes Balears</w:t>
            </w:r>
          </w:p>
        </w:tc>
        <w:tc>
          <w:tcPr>
            <w:tcW w:w="1984" w:type="dxa"/>
            <w:vAlign w:val="bottom"/>
          </w:tcPr>
          <w:p w14:paraId="5EC6B6BD" w14:textId="77777777" w:rsidR="000569D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Sant Antoni de Portmany</w:t>
            </w:r>
          </w:p>
        </w:tc>
        <w:tc>
          <w:tcPr>
            <w:tcW w:w="1985" w:type="dxa"/>
            <w:vAlign w:val="bottom"/>
          </w:tcPr>
          <w:p w14:paraId="085D63F0"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sz w:val="22"/>
                <w:szCs w:val="22"/>
              </w:rPr>
              <w:t>21,80 €</w:t>
            </w:r>
          </w:p>
        </w:tc>
        <w:tc>
          <w:tcPr>
            <w:tcW w:w="1701" w:type="dxa"/>
            <w:vAlign w:val="bottom"/>
          </w:tcPr>
          <w:p w14:paraId="01CFAF4E" w14:textId="77777777" w:rsidR="000569D1" w:rsidRDefault="000569D1">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p>
        </w:tc>
        <w:tc>
          <w:tcPr>
            <w:tcW w:w="1701" w:type="dxa"/>
            <w:vAlign w:val="bottom"/>
          </w:tcPr>
          <w:p w14:paraId="1784F0E5" w14:textId="77777777" w:rsidR="000569D1" w:rsidRDefault="000569D1">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p>
        </w:tc>
      </w:tr>
      <w:tr w:rsidR="000569D1" w14:paraId="30CE7BE6" w14:textId="77777777" w:rsidTr="000569D1">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1560" w:type="dxa"/>
            <w:vAlign w:val="bottom"/>
          </w:tcPr>
          <w:p w14:paraId="24E74FD4"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Madrid</w:t>
            </w:r>
          </w:p>
        </w:tc>
        <w:tc>
          <w:tcPr>
            <w:tcW w:w="1984" w:type="dxa"/>
            <w:vAlign w:val="bottom"/>
          </w:tcPr>
          <w:p w14:paraId="58EE45F1" w14:textId="77777777" w:rsidR="000569D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La Moraleja</w:t>
            </w:r>
          </w:p>
        </w:tc>
        <w:tc>
          <w:tcPr>
            <w:tcW w:w="1985" w:type="dxa"/>
            <w:vAlign w:val="bottom"/>
          </w:tcPr>
          <w:p w14:paraId="47FE04CB"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sz w:val="22"/>
                <w:szCs w:val="22"/>
              </w:rPr>
              <w:t>21,66 €</w:t>
            </w:r>
          </w:p>
        </w:tc>
        <w:tc>
          <w:tcPr>
            <w:tcW w:w="1701" w:type="dxa"/>
            <w:vAlign w:val="bottom"/>
          </w:tcPr>
          <w:p w14:paraId="770ABC34"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sz w:val="22"/>
                <w:szCs w:val="22"/>
              </w:rPr>
              <w:t>3,6%</w:t>
            </w:r>
          </w:p>
        </w:tc>
        <w:tc>
          <w:tcPr>
            <w:tcW w:w="1701" w:type="dxa"/>
            <w:vAlign w:val="bottom"/>
          </w:tcPr>
          <w:p w14:paraId="71E31CA3"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sz w:val="22"/>
                <w:szCs w:val="22"/>
              </w:rPr>
              <w:t>1,5%</w:t>
            </w:r>
          </w:p>
        </w:tc>
      </w:tr>
      <w:tr w:rsidR="000569D1" w14:paraId="1FB479BF" w14:textId="77777777" w:rsidTr="000569D1">
        <w:trPr>
          <w:trHeight w:val="212"/>
        </w:trPr>
        <w:tc>
          <w:tcPr>
            <w:cnfStyle w:val="001000000000" w:firstRow="0" w:lastRow="0" w:firstColumn="1" w:lastColumn="0" w:oddVBand="0" w:evenVBand="0" w:oddHBand="0" w:evenHBand="0" w:firstRowFirstColumn="0" w:firstRowLastColumn="0" w:lastRowFirstColumn="0" w:lastRowLastColumn="0"/>
            <w:tcW w:w="1560" w:type="dxa"/>
            <w:vAlign w:val="bottom"/>
          </w:tcPr>
          <w:p w14:paraId="7C73E292"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Barcelona</w:t>
            </w:r>
          </w:p>
        </w:tc>
        <w:tc>
          <w:tcPr>
            <w:tcW w:w="1984" w:type="dxa"/>
            <w:vAlign w:val="bottom"/>
          </w:tcPr>
          <w:p w14:paraId="04C7E7D7" w14:textId="77777777" w:rsidR="000569D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Sitges</w:t>
            </w:r>
          </w:p>
        </w:tc>
        <w:tc>
          <w:tcPr>
            <w:tcW w:w="1985" w:type="dxa"/>
            <w:vAlign w:val="bottom"/>
          </w:tcPr>
          <w:p w14:paraId="0415CCB2"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sz w:val="22"/>
                <w:szCs w:val="22"/>
              </w:rPr>
              <w:t>21,33 €</w:t>
            </w:r>
          </w:p>
        </w:tc>
        <w:tc>
          <w:tcPr>
            <w:tcW w:w="1701" w:type="dxa"/>
            <w:vAlign w:val="bottom"/>
          </w:tcPr>
          <w:p w14:paraId="535A74DF"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9C0006"/>
                <w:sz w:val="22"/>
                <w:szCs w:val="22"/>
              </w:rPr>
              <w:t>-0,5%</w:t>
            </w:r>
          </w:p>
        </w:tc>
        <w:tc>
          <w:tcPr>
            <w:tcW w:w="1701" w:type="dxa"/>
            <w:vAlign w:val="bottom"/>
          </w:tcPr>
          <w:p w14:paraId="50426F4B"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sz w:val="22"/>
                <w:szCs w:val="22"/>
              </w:rPr>
              <w:t>3,3%</w:t>
            </w:r>
          </w:p>
        </w:tc>
      </w:tr>
    </w:tbl>
    <w:p w14:paraId="69AF64A2" w14:textId="77777777" w:rsidR="000569D1" w:rsidRDefault="00000000">
      <w:pPr>
        <w:pBdr>
          <w:top w:val="nil"/>
          <w:left w:val="nil"/>
          <w:bottom w:val="nil"/>
          <w:right w:val="nil"/>
          <w:between w:val="nil"/>
        </w:pBdr>
        <w:spacing w:before="280" w:after="280" w:line="276" w:lineRule="auto"/>
        <w:jc w:val="both"/>
        <w:rPr>
          <w:rFonts w:ascii="Open Sans Light" w:eastAsia="Open Sans Light" w:hAnsi="Open Sans Light" w:cs="Open Sans Light"/>
          <w:b/>
          <w:bCs/>
          <w:color w:val="303AB2"/>
          <w:sz w:val="28"/>
          <w:szCs w:val="28"/>
        </w:rPr>
      </w:pPr>
      <w:r>
        <w:rPr>
          <w:rFonts w:ascii="Open Sans Light" w:eastAsia="Open Sans Light" w:hAnsi="Open Sans Light" w:cs="Open Sans Light"/>
          <w:b/>
          <w:bCs/>
          <w:color w:val="303AB2"/>
          <w:sz w:val="28"/>
          <w:szCs w:val="28"/>
        </w:rPr>
        <w:t xml:space="preserve">Municipios con menor precio </w:t>
      </w:r>
    </w:p>
    <w:tbl>
      <w:tblPr>
        <w:tblStyle w:val="a5"/>
        <w:tblW w:w="8931" w:type="dxa"/>
        <w:tblInd w:w="-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1560"/>
        <w:gridCol w:w="1984"/>
        <w:gridCol w:w="1985"/>
        <w:gridCol w:w="1701"/>
        <w:gridCol w:w="1701"/>
      </w:tblGrid>
      <w:tr w:rsidR="000569D1" w14:paraId="0781BF03" w14:textId="77777777" w:rsidTr="000569D1">
        <w:trPr>
          <w:cnfStyle w:val="100000000000" w:firstRow="1" w:lastRow="0" w:firstColumn="0" w:lastColumn="0" w:oddVBand="0" w:evenVBand="0" w:oddHBand="0" w:evenHBand="0" w:firstRowFirstColumn="0" w:firstRowLastColumn="0" w:lastRowFirstColumn="0" w:lastRowLastColumn="0"/>
          <w:trHeight w:val="534"/>
        </w:trPr>
        <w:tc>
          <w:tcPr>
            <w:cnfStyle w:val="001000000000" w:firstRow="0" w:lastRow="0" w:firstColumn="1" w:lastColumn="0" w:oddVBand="0" w:evenVBand="0" w:oddHBand="0" w:evenHBand="0" w:firstRowFirstColumn="0" w:firstRowLastColumn="0" w:lastRowFirstColumn="0" w:lastRowLastColumn="0"/>
            <w:tcW w:w="1560" w:type="dxa"/>
            <w:vAlign w:val="center"/>
          </w:tcPr>
          <w:p w14:paraId="08B4894D"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Provincia</w:t>
            </w:r>
          </w:p>
        </w:tc>
        <w:tc>
          <w:tcPr>
            <w:tcW w:w="1984" w:type="dxa"/>
            <w:vAlign w:val="center"/>
          </w:tcPr>
          <w:p w14:paraId="1103F869" w14:textId="77777777" w:rsidR="000569D1" w:rsidRDefault="00000000">
            <w:pP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b w:val="0"/>
                <w:bCs w:val="0"/>
                <w:sz w:val="22"/>
                <w:szCs w:val="22"/>
              </w:rPr>
              <w:t>Municipio</w:t>
            </w:r>
          </w:p>
        </w:tc>
        <w:tc>
          <w:tcPr>
            <w:tcW w:w="1985" w:type="dxa"/>
            <w:vAlign w:val="center"/>
          </w:tcPr>
          <w:p w14:paraId="605D98C7" w14:textId="77777777" w:rsidR="000569D1" w:rsidRDefault="00000000">
            <w:pPr>
              <w:jc w:val="cente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b w:val="0"/>
                <w:bCs w:val="0"/>
                <w:sz w:val="22"/>
                <w:szCs w:val="22"/>
              </w:rPr>
              <w:t>Jul. 2026</w:t>
            </w:r>
          </w:p>
          <w:p w14:paraId="01BAF2D2" w14:textId="77777777" w:rsidR="000569D1" w:rsidRDefault="00000000">
            <w:pPr>
              <w:jc w:val="cente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b w:val="0"/>
                <w:bCs w:val="0"/>
                <w:sz w:val="22"/>
                <w:szCs w:val="22"/>
              </w:rPr>
              <w:t>(€/m² al mes)</w:t>
            </w:r>
          </w:p>
        </w:tc>
        <w:tc>
          <w:tcPr>
            <w:tcW w:w="1701" w:type="dxa"/>
            <w:vAlign w:val="center"/>
          </w:tcPr>
          <w:p w14:paraId="7C0224AC" w14:textId="77777777" w:rsidR="000569D1" w:rsidRDefault="00000000">
            <w:pPr>
              <w:jc w:val="cente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b w:val="0"/>
                <w:bCs w:val="0"/>
                <w:sz w:val="22"/>
                <w:szCs w:val="22"/>
              </w:rPr>
              <w:t>Variación mensual (%)</w:t>
            </w:r>
          </w:p>
        </w:tc>
        <w:tc>
          <w:tcPr>
            <w:tcW w:w="1701" w:type="dxa"/>
            <w:vAlign w:val="center"/>
          </w:tcPr>
          <w:p w14:paraId="7945D823" w14:textId="77777777" w:rsidR="000569D1" w:rsidRDefault="00000000">
            <w:pPr>
              <w:jc w:val="cente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b w:val="0"/>
                <w:bCs w:val="0"/>
                <w:sz w:val="22"/>
                <w:szCs w:val="22"/>
              </w:rPr>
              <w:t>Variación interanual (%)</w:t>
            </w:r>
          </w:p>
        </w:tc>
      </w:tr>
      <w:tr w:rsidR="000569D1" w14:paraId="4D5B28C8" w14:textId="77777777" w:rsidTr="000569D1">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1560" w:type="dxa"/>
            <w:vAlign w:val="bottom"/>
          </w:tcPr>
          <w:p w14:paraId="17899927"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Granada</w:t>
            </w:r>
          </w:p>
        </w:tc>
        <w:tc>
          <w:tcPr>
            <w:tcW w:w="1984" w:type="dxa"/>
            <w:vAlign w:val="bottom"/>
          </w:tcPr>
          <w:p w14:paraId="14C53673" w14:textId="77777777" w:rsidR="000569D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Baza</w:t>
            </w:r>
          </w:p>
        </w:tc>
        <w:tc>
          <w:tcPr>
            <w:tcW w:w="1985" w:type="dxa"/>
            <w:vAlign w:val="bottom"/>
          </w:tcPr>
          <w:p w14:paraId="6CC6A5FA"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sz w:val="22"/>
                <w:szCs w:val="22"/>
              </w:rPr>
              <w:t>4,90 €</w:t>
            </w:r>
          </w:p>
        </w:tc>
        <w:tc>
          <w:tcPr>
            <w:tcW w:w="1701" w:type="dxa"/>
            <w:vAlign w:val="bottom"/>
          </w:tcPr>
          <w:p w14:paraId="1BDA5D9C" w14:textId="77777777" w:rsidR="000569D1" w:rsidRDefault="000569D1">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22"/>
                <w:szCs w:val="22"/>
              </w:rPr>
            </w:pPr>
          </w:p>
        </w:tc>
        <w:tc>
          <w:tcPr>
            <w:tcW w:w="1701" w:type="dxa"/>
            <w:vAlign w:val="bottom"/>
          </w:tcPr>
          <w:p w14:paraId="2345F1D4" w14:textId="77777777" w:rsidR="000569D1" w:rsidRDefault="000569D1">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22"/>
                <w:szCs w:val="22"/>
              </w:rPr>
            </w:pPr>
          </w:p>
        </w:tc>
      </w:tr>
      <w:tr w:rsidR="000569D1" w14:paraId="63D63A0A" w14:textId="77777777" w:rsidTr="000569D1">
        <w:trPr>
          <w:trHeight w:val="212"/>
        </w:trPr>
        <w:tc>
          <w:tcPr>
            <w:cnfStyle w:val="001000000000" w:firstRow="0" w:lastRow="0" w:firstColumn="1" w:lastColumn="0" w:oddVBand="0" w:evenVBand="0" w:oddHBand="0" w:evenHBand="0" w:firstRowFirstColumn="0" w:firstRowLastColumn="0" w:lastRowFirstColumn="0" w:lastRowLastColumn="0"/>
            <w:tcW w:w="1560" w:type="dxa"/>
            <w:vAlign w:val="bottom"/>
          </w:tcPr>
          <w:p w14:paraId="3D386789"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Jaén</w:t>
            </w:r>
          </w:p>
        </w:tc>
        <w:tc>
          <w:tcPr>
            <w:tcW w:w="1984" w:type="dxa"/>
            <w:vAlign w:val="bottom"/>
          </w:tcPr>
          <w:p w14:paraId="37E8B54F" w14:textId="77777777" w:rsidR="000569D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Baeza</w:t>
            </w:r>
          </w:p>
        </w:tc>
        <w:tc>
          <w:tcPr>
            <w:tcW w:w="1985" w:type="dxa"/>
            <w:vAlign w:val="bottom"/>
          </w:tcPr>
          <w:p w14:paraId="75805690"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sz w:val="22"/>
                <w:szCs w:val="22"/>
              </w:rPr>
              <w:t>5,30 €</w:t>
            </w:r>
          </w:p>
        </w:tc>
        <w:tc>
          <w:tcPr>
            <w:tcW w:w="1701" w:type="dxa"/>
            <w:vAlign w:val="bottom"/>
          </w:tcPr>
          <w:p w14:paraId="5785BB5C"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sz w:val="22"/>
                <w:szCs w:val="22"/>
              </w:rPr>
              <w:t>7,5%</w:t>
            </w:r>
          </w:p>
        </w:tc>
        <w:tc>
          <w:tcPr>
            <w:tcW w:w="1701" w:type="dxa"/>
            <w:vAlign w:val="bottom"/>
          </w:tcPr>
          <w:p w14:paraId="4071ABBD"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sz w:val="22"/>
                <w:szCs w:val="22"/>
              </w:rPr>
            </w:pPr>
            <w:r>
              <w:rPr>
                <w:rFonts w:ascii="Open Sans" w:eastAsia="Open Sans" w:hAnsi="Open Sans" w:cs="Open Sans"/>
                <w:sz w:val="22"/>
                <w:szCs w:val="22"/>
              </w:rPr>
              <w:t>0,0%</w:t>
            </w:r>
          </w:p>
        </w:tc>
      </w:tr>
      <w:tr w:rsidR="000569D1" w14:paraId="3CBB4380" w14:textId="77777777" w:rsidTr="000569D1">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1560" w:type="dxa"/>
            <w:vAlign w:val="bottom"/>
          </w:tcPr>
          <w:p w14:paraId="2C7D7D4E"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Jaén</w:t>
            </w:r>
          </w:p>
        </w:tc>
        <w:tc>
          <w:tcPr>
            <w:tcW w:w="1984" w:type="dxa"/>
            <w:vAlign w:val="bottom"/>
          </w:tcPr>
          <w:p w14:paraId="653CF3D9" w14:textId="77777777" w:rsidR="000569D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Cazorla</w:t>
            </w:r>
          </w:p>
        </w:tc>
        <w:tc>
          <w:tcPr>
            <w:tcW w:w="1985" w:type="dxa"/>
            <w:vAlign w:val="bottom"/>
          </w:tcPr>
          <w:p w14:paraId="6E63B5DA"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sz w:val="22"/>
                <w:szCs w:val="22"/>
              </w:rPr>
              <w:t>5,70 €</w:t>
            </w:r>
          </w:p>
        </w:tc>
        <w:tc>
          <w:tcPr>
            <w:tcW w:w="1701" w:type="dxa"/>
            <w:vAlign w:val="bottom"/>
          </w:tcPr>
          <w:p w14:paraId="02446D3A"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9C0006"/>
                <w:sz w:val="22"/>
                <w:szCs w:val="22"/>
              </w:rPr>
            </w:pPr>
            <w:r>
              <w:rPr>
                <w:rFonts w:ascii="Open Sans" w:eastAsia="Open Sans" w:hAnsi="Open Sans" w:cs="Open Sans"/>
                <w:sz w:val="22"/>
                <w:szCs w:val="22"/>
              </w:rPr>
              <w:t>1,2%</w:t>
            </w:r>
          </w:p>
        </w:tc>
        <w:tc>
          <w:tcPr>
            <w:tcW w:w="1701" w:type="dxa"/>
            <w:vAlign w:val="bottom"/>
          </w:tcPr>
          <w:p w14:paraId="161EF575" w14:textId="77777777" w:rsidR="000569D1" w:rsidRDefault="000569D1">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22"/>
                <w:szCs w:val="22"/>
              </w:rPr>
            </w:pPr>
          </w:p>
        </w:tc>
      </w:tr>
      <w:tr w:rsidR="000569D1" w14:paraId="180AC6AE" w14:textId="77777777" w:rsidTr="000569D1">
        <w:trPr>
          <w:trHeight w:val="212"/>
        </w:trPr>
        <w:tc>
          <w:tcPr>
            <w:cnfStyle w:val="001000000000" w:firstRow="0" w:lastRow="0" w:firstColumn="1" w:lastColumn="0" w:oddVBand="0" w:evenVBand="0" w:oddHBand="0" w:evenHBand="0" w:firstRowFirstColumn="0" w:firstRowLastColumn="0" w:lastRowFirstColumn="0" w:lastRowLastColumn="0"/>
            <w:tcW w:w="1560" w:type="dxa"/>
            <w:vAlign w:val="bottom"/>
          </w:tcPr>
          <w:p w14:paraId="7719669B"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Valladolid</w:t>
            </w:r>
          </w:p>
        </w:tc>
        <w:tc>
          <w:tcPr>
            <w:tcW w:w="1984" w:type="dxa"/>
            <w:vAlign w:val="bottom"/>
          </w:tcPr>
          <w:p w14:paraId="248231BC" w14:textId="77777777" w:rsidR="000569D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Tudela de Duero</w:t>
            </w:r>
          </w:p>
        </w:tc>
        <w:tc>
          <w:tcPr>
            <w:tcW w:w="1985" w:type="dxa"/>
            <w:vAlign w:val="bottom"/>
          </w:tcPr>
          <w:p w14:paraId="31BAC2A7"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sz w:val="22"/>
                <w:szCs w:val="22"/>
              </w:rPr>
              <w:t>5,79 €</w:t>
            </w:r>
          </w:p>
        </w:tc>
        <w:tc>
          <w:tcPr>
            <w:tcW w:w="1701" w:type="dxa"/>
            <w:vAlign w:val="bottom"/>
          </w:tcPr>
          <w:p w14:paraId="64CA53D6"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9C0006"/>
                <w:sz w:val="22"/>
                <w:szCs w:val="22"/>
              </w:rPr>
              <w:t>-2,0%</w:t>
            </w:r>
          </w:p>
        </w:tc>
        <w:tc>
          <w:tcPr>
            <w:tcW w:w="1701" w:type="dxa"/>
            <w:vAlign w:val="bottom"/>
          </w:tcPr>
          <w:p w14:paraId="40FF2A69" w14:textId="77777777" w:rsidR="000569D1" w:rsidRDefault="000569D1">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sz w:val="22"/>
                <w:szCs w:val="22"/>
              </w:rPr>
            </w:pPr>
          </w:p>
        </w:tc>
      </w:tr>
      <w:tr w:rsidR="000569D1" w14:paraId="512A1C95" w14:textId="77777777" w:rsidTr="000569D1">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1560" w:type="dxa"/>
            <w:vAlign w:val="bottom"/>
          </w:tcPr>
          <w:p w14:paraId="7074AE17"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Madrid</w:t>
            </w:r>
          </w:p>
        </w:tc>
        <w:tc>
          <w:tcPr>
            <w:tcW w:w="1984" w:type="dxa"/>
            <w:vAlign w:val="bottom"/>
          </w:tcPr>
          <w:p w14:paraId="4747A0FD" w14:textId="77777777" w:rsidR="000569D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Alcalá de Henares</w:t>
            </w:r>
          </w:p>
        </w:tc>
        <w:tc>
          <w:tcPr>
            <w:tcW w:w="1985" w:type="dxa"/>
            <w:vAlign w:val="bottom"/>
          </w:tcPr>
          <w:p w14:paraId="21F7F4D6"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sz w:val="22"/>
                <w:szCs w:val="22"/>
              </w:rPr>
              <w:t>5,91 €</w:t>
            </w:r>
          </w:p>
        </w:tc>
        <w:tc>
          <w:tcPr>
            <w:tcW w:w="1701" w:type="dxa"/>
            <w:vAlign w:val="bottom"/>
          </w:tcPr>
          <w:p w14:paraId="407870F0"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9C0006"/>
                <w:sz w:val="22"/>
                <w:szCs w:val="22"/>
              </w:rPr>
              <w:t>-60,1%</w:t>
            </w:r>
          </w:p>
        </w:tc>
        <w:tc>
          <w:tcPr>
            <w:tcW w:w="1701" w:type="dxa"/>
            <w:vAlign w:val="bottom"/>
          </w:tcPr>
          <w:p w14:paraId="67916DB1"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sz w:val="22"/>
                <w:szCs w:val="22"/>
              </w:rPr>
            </w:pPr>
            <w:r>
              <w:rPr>
                <w:rFonts w:ascii="Open Sans" w:eastAsia="Open Sans" w:hAnsi="Open Sans" w:cs="Open Sans"/>
                <w:color w:val="9C0006"/>
                <w:sz w:val="22"/>
                <w:szCs w:val="22"/>
              </w:rPr>
              <w:t>-55,0%</w:t>
            </w:r>
          </w:p>
        </w:tc>
      </w:tr>
      <w:tr w:rsidR="000569D1" w14:paraId="3C64A5D2" w14:textId="77777777" w:rsidTr="000569D1">
        <w:trPr>
          <w:trHeight w:val="212"/>
        </w:trPr>
        <w:tc>
          <w:tcPr>
            <w:cnfStyle w:val="001000000000" w:firstRow="0" w:lastRow="0" w:firstColumn="1" w:lastColumn="0" w:oddVBand="0" w:evenVBand="0" w:oddHBand="0" w:evenHBand="0" w:firstRowFirstColumn="0" w:firstRowLastColumn="0" w:lastRowFirstColumn="0" w:lastRowLastColumn="0"/>
            <w:tcW w:w="1560" w:type="dxa"/>
            <w:vAlign w:val="bottom"/>
          </w:tcPr>
          <w:p w14:paraId="57974E94"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Badajoz</w:t>
            </w:r>
          </w:p>
        </w:tc>
        <w:tc>
          <w:tcPr>
            <w:tcW w:w="1984" w:type="dxa"/>
            <w:vAlign w:val="bottom"/>
          </w:tcPr>
          <w:p w14:paraId="62AE646C" w14:textId="77777777" w:rsidR="000569D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Zafra</w:t>
            </w:r>
          </w:p>
        </w:tc>
        <w:tc>
          <w:tcPr>
            <w:tcW w:w="1985" w:type="dxa"/>
            <w:vAlign w:val="bottom"/>
          </w:tcPr>
          <w:p w14:paraId="574F6936"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sz w:val="22"/>
                <w:szCs w:val="22"/>
              </w:rPr>
              <w:t>6,09 €</w:t>
            </w:r>
          </w:p>
        </w:tc>
        <w:tc>
          <w:tcPr>
            <w:tcW w:w="1701" w:type="dxa"/>
            <w:vAlign w:val="bottom"/>
          </w:tcPr>
          <w:p w14:paraId="1C841EA0"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9C0006"/>
                <w:sz w:val="22"/>
                <w:szCs w:val="22"/>
              </w:rPr>
              <w:t>-11,0%</w:t>
            </w:r>
          </w:p>
        </w:tc>
        <w:tc>
          <w:tcPr>
            <w:tcW w:w="1701" w:type="dxa"/>
            <w:vAlign w:val="bottom"/>
          </w:tcPr>
          <w:p w14:paraId="1397AA15"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sz w:val="22"/>
                <w:szCs w:val="22"/>
              </w:rPr>
            </w:pPr>
            <w:r>
              <w:rPr>
                <w:rFonts w:ascii="Open Sans" w:eastAsia="Open Sans" w:hAnsi="Open Sans" w:cs="Open Sans"/>
                <w:color w:val="9C0006"/>
                <w:sz w:val="22"/>
                <w:szCs w:val="22"/>
              </w:rPr>
              <w:t>-13,7%</w:t>
            </w:r>
          </w:p>
        </w:tc>
      </w:tr>
      <w:tr w:rsidR="000569D1" w14:paraId="294A73F9" w14:textId="77777777" w:rsidTr="000569D1">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1560" w:type="dxa"/>
            <w:vAlign w:val="bottom"/>
          </w:tcPr>
          <w:p w14:paraId="7C3A39FC"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Jaén</w:t>
            </w:r>
          </w:p>
        </w:tc>
        <w:tc>
          <w:tcPr>
            <w:tcW w:w="1984" w:type="dxa"/>
            <w:vAlign w:val="bottom"/>
          </w:tcPr>
          <w:p w14:paraId="60CF6A70" w14:textId="77777777" w:rsidR="000569D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Andújar</w:t>
            </w:r>
          </w:p>
        </w:tc>
        <w:tc>
          <w:tcPr>
            <w:tcW w:w="1985" w:type="dxa"/>
            <w:vAlign w:val="bottom"/>
          </w:tcPr>
          <w:p w14:paraId="10332820"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sz w:val="22"/>
                <w:szCs w:val="22"/>
              </w:rPr>
              <w:t>6,15 €</w:t>
            </w:r>
          </w:p>
        </w:tc>
        <w:tc>
          <w:tcPr>
            <w:tcW w:w="1701" w:type="dxa"/>
            <w:vAlign w:val="bottom"/>
          </w:tcPr>
          <w:p w14:paraId="15971A83" w14:textId="77777777" w:rsidR="000569D1" w:rsidRDefault="000569D1">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p>
        </w:tc>
        <w:tc>
          <w:tcPr>
            <w:tcW w:w="1701" w:type="dxa"/>
            <w:vAlign w:val="bottom"/>
          </w:tcPr>
          <w:p w14:paraId="60E0C09F" w14:textId="77777777" w:rsidR="000569D1" w:rsidRDefault="000569D1">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p>
        </w:tc>
      </w:tr>
      <w:tr w:rsidR="000569D1" w14:paraId="340AA97D" w14:textId="77777777" w:rsidTr="000569D1">
        <w:trPr>
          <w:trHeight w:val="212"/>
        </w:trPr>
        <w:tc>
          <w:tcPr>
            <w:cnfStyle w:val="001000000000" w:firstRow="0" w:lastRow="0" w:firstColumn="1" w:lastColumn="0" w:oddVBand="0" w:evenVBand="0" w:oddHBand="0" w:evenHBand="0" w:firstRowFirstColumn="0" w:firstRowLastColumn="0" w:lastRowFirstColumn="0" w:lastRowLastColumn="0"/>
            <w:tcW w:w="1560" w:type="dxa"/>
            <w:vAlign w:val="bottom"/>
          </w:tcPr>
          <w:p w14:paraId="284FD3A0"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Ciudad Real</w:t>
            </w:r>
          </w:p>
        </w:tc>
        <w:tc>
          <w:tcPr>
            <w:tcW w:w="1984" w:type="dxa"/>
            <w:vAlign w:val="bottom"/>
          </w:tcPr>
          <w:p w14:paraId="1976757F" w14:textId="77777777" w:rsidR="000569D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Puertollano</w:t>
            </w:r>
          </w:p>
        </w:tc>
        <w:tc>
          <w:tcPr>
            <w:tcW w:w="1985" w:type="dxa"/>
            <w:vAlign w:val="bottom"/>
          </w:tcPr>
          <w:p w14:paraId="708650D7"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sz w:val="22"/>
                <w:szCs w:val="22"/>
              </w:rPr>
              <w:t>6,60 €</w:t>
            </w:r>
          </w:p>
        </w:tc>
        <w:tc>
          <w:tcPr>
            <w:tcW w:w="1701" w:type="dxa"/>
            <w:vAlign w:val="bottom"/>
          </w:tcPr>
          <w:p w14:paraId="6BD841C9"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1,1%</w:t>
            </w:r>
          </w:p>
        </w:tc>
        <w:tc>
          <w:tcPr>
            <w:tcW w:w="1701" w:type="dxa"/>
            <w:vAlign w:val="bottom"/>
          </w:tcPr>
          <w:p w14:paraId="6260BB9F"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sz w:val="22"/>
                <w:szCs w:val="22"/>
              </w:rPr>
              <w:t>11,9%</w:t>
            </w:r>
          </w:p>
        </w:tc>
      </w:tr>
      <w:tr w:rsidR="000569D1" w14:paraId="260C8DDA" w14:textId="77777777" w:rsidTr="000569D1">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1560" w:type="dxa"/>
            <w:vAlign w:val="bottom"/>
          </w:tcPr>
          <w:p w14:paraId="1814FB60"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Jaén</w:t>
            </w:r>
          </w:p>
        </w:tc>
        <w:tc>
          <w:tcPr>
            <w:tcW w:w="1984" w:type="dxa"/>
            <w:vAlign w:val="bottom"/>
          </w:tcPr>
          <w:p w14:paraId="77FC58FB" w14:textId="77777777" w:rsidR="000569D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Úbeda</w:t>
            </w:r>
          </w:p>
        </w:tc>
        <w:tc>
          <w:tcPr>
            <w:tcW w:w="1985" w:type="dxa"/>
            <w:vAlign w:val="bottom"/>
          </w:tcPr>
          <w:p w14:paraId="26EE7D7C"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sz w:val="22"/>
                <w:szCs w:val="22"/>
              </w:rPr>
              <w:t>6,61 €</w:t>
            </w:r>
          </w:p>
        </w:tc>
        <w:tc>
          <w:tcPr>
            <w:tcW w:w="1701" w:type="dxa"/>
            <w:vAlign w:val="bottom"/>
          </w:tcPr>
          <w:p w14:paraId="2650D1E5"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9C0006"/>
                <w:sz w:val="22"/>
                <w:szCs w:val="22"/>
              </w:rPr>
              <w:t>-6,9%</w:t>
            </w:r>
          </w:p>
        </w:tc>
        <w:tc>
          <w:tcPr>
            <w:tcW w:w="1701" w:type="dxa"/>
            <w:vAlign w:val="bottom"/>
          </w:tcPr>
          <w:p w14:paraId="0590FB7D"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sz w:val="22"/>
                <w:szCs w:val="22"/>
              </w:rPr>
            </w:pPr>
            <w:r>
              <w:rPr>
                <w:rFonts w:ascii="Open Sans" w:eastAsia="Open Sans" w:hAnsi="Open Sans" w:cs="Open Sans"/>
                <w:sz w:val="22"/>
                <w:szCs w:val="22"/>
              </w:rPr>
              <w:t>12,2%</w:t>
            </w:r>
          </w:p>
        </w:tc>
      </w:tr>
      <w:tr w:rsidR="000569D1" w14:paraId="2AF0223B" w14:textId="77777777" w:rsidTr="000569D1">
        <w:trPr>
          <w:trHeight w:val="212"/>
        </w:trPr>
        <w:tc>
          <w:tcPr>
            <w:cnfStyle w:val="001000000000" w:firstRow="0" w:lastRow="0" w:firstColumn="1" w:lastColumn="0" w:oddVBand="0" w:evenVBand="0" w:oddHBand="0" w:evenHBand="0" w:firstRowFirstColumn="0" w:firstRowLastColumn="0" w:lastRowFirstColumn="0" w:lastRowLastColumn="0"/>
            <w:tcW w:w="1560" w:type="dxa"/>
            <w:vAlign w:val="bottom"/>
          </w:tcPr>
          <w:p w14:paraId="4AAABAD0"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Castellón</w:t>
            </w:r>
          </w:p>
        </w:tc>
        <w:tc>
          <w:tcPr>
            <w:tcW w:w="1984" w:type="dxa"/>
            <w:vAlign w:val="bottom"/>
          </w:tcPr>
          <w:p w14:paraId="12CD9681" w14:textId="77777777" w:rsidR="000569D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Burriana / Borriana</w:t>
            </w:r>
          </w:p>
        </w:tc>
        <w:tc>
          <w:tcPr>
            <w:tcW w:w="1985" w:type="dxa"/>
            <w:vAlign w:val="bottom"/>
          </w:tcPr>
          <w:p w14:paraId="74139DA4"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sz w:val="22"/>
                <w:szCs w:val="22"/>
              </w:rPr>
              <w:t>6,88 €</w:t>
            </w:r>
          </w:p>
        </w:tc>
        <w:tc>
          <w:tcPr>
            <w:tcW w:w="1701" w:type="dxa"/>
            <w:vAlign w:val="bottom"/>
          </w:tcPr>
          <w:p w14:paraId="2F93810F"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9C0006"/>
                <w:sz w:val="22"/>
                <w:szCs w:val="22"/>
              </w:rPr>
              <w:t>-15,5%</w:t>
            </w:r>
          </w:p>
        </w:tc>
        <w:tc>
          <w:tcPr>
            <w:tcW w:w="1701" w:type="dxa"/>
            <w:vAlign w:val="bottom"/>
          </w:tcPr>
          <w:p w14:paraId="48CAE641" w14:textId="77777777" w:rsidR="000569D1" w:rsidRDefault="000569D1">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sz w:val="22"/>
                <w:szCs w:val="22"/>
              </w:rPr>
            </w:pPr>
          </w:p>
        </w:tc>
      </w:tr>
    </w:tbl>
    <w:p w14:paraId="595E0A5F" w14:textId="77777777" w:rsidR="000569D1" w:rsidRDefault="000569D1">
      <w:pPr>
        <w:spacing w:line="276" w:lineRule="auto"/>
        <w:ind w:right="-567"/>
        <w:rPr>
          <w:rFonts w:ascii="Open Sans Light" w:eastAsia="Open Sans Light" w:hAnsi="Open Sans Light" w:cs="Open Sans Light"/>
          <w:b/>
          <w:bCs/>
          <w:color w:val="303AB2"/>
          <w:sz w:val="28"/>
          <w:szCs w:val="28"/>
        </w:rPr>
      </w:pPr>
    </w:p>
    <w:p w14:paraId="07C0CFA8" w14:textId="77777777" w:rsidR="000569D1" w:rsidRDefault="00000000">
      <w:pPr>
        <w:spacing w:line="276" w:lineRule="auto"/>
        <w:ind w:right="-567"/>
        <w:rPr>
          <w:rFonts w:ascii="Open Sans Light" w:eastAsia="Open Sans Light" w:hAnsi="Open Sans Light" w:cs="Open Sans Light"/>
          <w:b/>
          <w:bCs/>
          <w:color w:val="303AB2"/>
          <w:sz w:val="28"/>
          <w:szCs w:val="28"/>
        </w:rPr>
      </w:pPr>
      <w:r>
        <w:rPr>
          <w:rFonts w:ascii="Open Sans Light" w:eastAsia="Open Sans Light" w:hAnsi="Open Sans Light" w:cs="Open Sans Light"/>
          <w:b/>
          <w:bCs/>
          <w:color w:val="303AB2"/>
          <w:sz w:val="28"/>
          <w:szCs w:val="28"/>
        </w:rPr>
        <w:t xml:space="preserve">Distritos de Madrid </w:t>
      </w:r>
    </w:p>
    <w:p w14:paraId="0AEB1E26" w14:textId="77777777" w:rsidR="000569D1" w:rsidRDefault="000569D1">
      <w:pPr>
        <w:spacing w:line="276" w:lineRule="auto"/>
        <w:ind w:right="-567"/>
        <w:rPr>
          <w:rFonts w:ascii="Open Sans Light" w:eastAsia="Open Sans Light" w:hAnsi="Open Sans Light" w:cs="Open Sans Light"/>
          <w:b/>
          <w:bCs/>
          <w:color w:val="303AB2"/>
          <w:sz w:val="16"/>
          <w:szCs w:val="16"/>
        </w:rPr>
      </w:pPr>
    </w:p>
    <w:p w14:paraId="78F06188" w14:textId="77777777" w:rsidR="000569D1" w:rsidRDefault="00000000">
      <w:pPr>
        <w:spacing w:line="276" w:lineRule="auto"/>
        <w:ind w:right="-567"/>
        <w:jc w:val="both"/>
        <w:rPr>
          <w:rFonts w:ascii="Open Sans" w:eastAsia="Open Sans" w:hAnsi="Open Sans" w:cs="Open Sans"/>
          <w:color w:val="000000"/>
        </w:rPr>
      </w:pPr>
      <w:r>
        <w:rPr>
          <w:rFonts w:ascii="Open Sans" w:eastAsia="Open Sans" w:hAnsi="Open Sans" w:cs="Open Sans"/>
          <w:color w:val="000000"/>
        </w:rPr>
        <w:t>El precio del alquiler cae en julio en 17 de los 20 distritos analizados con variación interanual y son:</w:t>
      </w:r>
      <w:r>
        <w:t xml:space="preserve"> </w:t>
      </w:r>
      <w:r>
        <w:rPr>
          <w:rFonts w:ascii="Open Sans" w:eastAsia="Open Sans" w:hAnsi="Open Sans" w:cs="Open Sans"/>
          <w:color w:val="000000"/>
        </w:rPr>
        <w:t xml:space="preserve">Villa de Vallecas (-34,8%), Villaverde (-19,2%), Retiro (-16,0%), Tetuán (-14,0%), Centro (-14,0%), Puente de Vallecas  (-13,5%), Chamartín (-12,5%), Chamberí (-12,5%), Latina  (-11,1%), Barrio de Salamanca (-10,6%), Fuencarral - El </w:t>
      </w:r>
      <w:r>
        <w:rPr>
          <w:rFonts w:ascii="Open Sans" w:eastAsia="Open Sans" w:hAnsi="Open Sans" w:cs="Open Sans"/>
          <w:color w:val="000000"/>
        </w:rPr>
        <w:lastRenderedPageBreak/>
        <w:t>Pardo (-9,7%), Arganzuela (-8,9%), Usera (-7,7%), Hortaleza (-6,1%), Moncloa – Aravaca (-5,4%), Ciudad Lineal (-2,7%) y Carabanchel (-0,1%). Por otro lado, los únicos distritos que incrementan el precio interanual del alquiler son: Barajas (15,2%), Vicálvaro (3,1%) y San Blas (1,2%).</w:t>
      </w:r>
    </w:p>
    <w:p w14:paraId="38DA946B" w14:textId="77777777" w:rsidR="000569D1" w:rsidRDefault="000569D1">
      <w:pPr>
        <w:spacing w:line="276" w:lineRule="auto"/>
        <w:ind w:right="-567"/>
        <w:jc w:val="both"/>
        <w:rPr>
          <w:rFonts w:ascii="Open Sans" w:eastAsia="Open Sans" w:hAnsi="Open Sans" w:cs="Open Sans"/>
          <w:color w:val="000000"/>
        </w:rPr>
      </w:pPr>
    </w:p>
    <w:p w14:paraId="347CAA02" w14:textId="77777777" w:rsidR="000569D1" w:rsidRDefault="00000000">
      <w:pPr>
        <w:spacing w:line="276" w:lineRule="auto"/>
        <w:ind w:right="-567"/>
        <w:jc w:val="both"/>
        <w:rPr>
          <w:rFonts w:ascii="Open Sans" w:eastAsia="Open Sans" w:hAnsi="Open Sans" w:cs="Open Sans"/>
          <w:color w:val="000000"/>
        </w:rPr>
      </w:pPr>
      <w:r>
        <w:rPr>
          <w:rFonts w:ascii="Open Sans" w:eastAsia="Open Sans" w:hAnsi="Open Sans" w:cs="Open Sans"/>
          <w:color w:val="000000"/>
        </w:rPr>
        <w:t>En cuanto al precio por metro cuadrado, siete distritos analizados tienen un precio por encima de los 20,00 €/m</w:t>
      </w:r>
      <w:r>
        <w:rPr>
          <w:rFonts w:ascii="Open Sans" w:eastAsia="Open Sans" w:hAnsi="Open Sans" w:cs="Open Sans"/>
          <w:color w:val="000000"/>
          <w:vertAlign w:val="superscript"/>
        </w:rPr>
        <w:t xml:space="preserve">2 </w:t>
      </w:r>
      <w:r>
        <w:rPr>
          <w:rFonts w:ascii="Open Sans" w:eastAsia="Open Sans" w:hAnsi="Open Sans" w:cs="Open Sans"/>
          <w:color w:val="000000"/>
        </w:rPr>
        <w:t>al mes. El distrito más caro para vivir en alquiler es Barrio de Salamanca con 21,49 €/m</w:t>
      </w:r>
      <w:r>
        <w:rPr>
          <w:rFonts w:ascii="Open Sans" w:eastAsia="Open Sans" w:hAnsi="Open Sans" w:cs="Open Sans"/>
          <w:color w:val="000000"/>
          <w:vertAlign w:val="superscript"/>
        </w:rPr>
        <w:t xml:space="preserve">2 </w:t>
      </w:r>
      <w:r>
        <w:rPr>
          <w:rFonts w:ascii="Open Sans" w:eastAsia="Open Sans" w:hAnsi="Open Sans" w:cs="Open Sans"/>
          <w:color w:val="000000"/>
        </w:rPr>
        <w:t>al mes, seguida de Centro con 20,73 €/m</w:t>
      </w:r>
      <w:r>
        <w:rPr>
          <w:rFonts w:ascii="Open Sans" w:eastAsia="Open Sans" w:hAnsi="Open Sans" w:cs="Open Sans"/>
          <w:color w:val="000000"/>
          <w:vertAlign w:val="superscript"/>
        </w:rPr>
        <w:t xml:space="preserve">2 </w:t>
      </w:r>
      <w:r>
        <w:rPr>
          <w:rFonts w:ascii="Open Sans" w:eastAsia="Open Sans" w:hAnsi="Open Sans" w:cs="Open Sans"/>
          <w:color w:val="000000"/>
        </w:rPr>
        <w:t>al mes, Arganzuela con 20,71 €/m</w:t>
      </w:r>
      <w:r>
        <w:rPr>
          <w:rFonts w:ascii="Open Sans" w:eastAsia="Open Sans" w:hAnsi="Open Sans" w:cs="Open Sans"/>
          <w:color w:val="000000"/>
          <w:vertAlign w:val="superscript"/>
        </w:rPr>
        <w:t xml:space="preserve">2 </w:t>
      </w:r>
      <w:r>
        <w:rPr>
          <w:rFonts w:ascii="Open Sans" w:eastAsia="Open Sans" w:hAnsi="Open Sans" w:cs="Open Sans"/>
          <w:color w:val="000000"/>
        </w:rPr>
        <w:t>al mes, Chamberí con 20,71 €/m</w:t>
      </w:r>
      <w:r>
        <w:rPr>
          <w:rFonts w:ascii="Open Sans" w:eastAsia="Open Sans" w:hAnsi="Open Sans" w:cs="Open Sans"/>
          <w:color w:val="000000"/>
          <w:vertAlign w:val="superscript"/>
        </w:rPr>
        <w:t xml:space="preserve">2 </w:t>
      </w:r>
      <w:r>
        <w:rPr>
          <w:rFonts w:ascii="Open Sans" w:eastAsia="Open Sans" w:hAnsi="Open Sans" w:cs="Open Sans"/>
          <w:color w:val="000000"/>
        </w:rPr>
        <w:t>al mes, Barajas con 20,25 €/m</w:t>
      </w:r>
      <w:r>
        <w:rPr>
          <w:rFonts w:ascii="Open Sans" w:eastAsia="Open Sans" w:hAnsi="Open Sans" w:cs="Open Sans"/>
          <w:color w:val="000000"/>
          <w:vertAlign w:val="superscript"/>
        </w:rPr>
        <w:t xml:space="preserve">2 </w:t>
      </w:r>
      <w:r>
        <w:rPr>
          <w:rFonts w:ascii="Open Sans" w:eastAsia="Open Sans" w:hAnsi="Open Sans" w:cs="Open Sans"/>
          <w:color w:val="000000"/>
        </w:rPr>
        <w:t>al mes, Ciudad Lineal con 20,13€/m</w:t>
      </w:r>
      <w:r>
        <w:rPr>
          <w:rFonts w:ascii="Open Sans" w:eastAsia="Open Sans" w:hAnsi="Open Sans" w:cs="Open Sans"/>
          <w:color w:val="000000"/>
          <w:vertAlign w:val="superscript"/>
        </w:rPr>
        <w:t xml:space="preserve">2 </w:t>
      </w:r>
      <w:r>
        <w:rPr>
          <w:rFonts w:ascii="Open Sans" w:eastAsia="Open Sans" w:hAnsi="Open Sans" w:cs="Open Sans"/>
          <w:color w:val="000000"/>
        </w:rPr>
        <w:t>al mes y Moncloa - Aravaca con 20,07 €/m</w:t>
      </w:r>
      <w:r>
        <w:rPr>
          <w:rFonts w:ascii="Open Sans" w:eastAsia="Open Sans" w:hAnsi="Open Sans" w:cs="Open Sans"/>
          <w:color w:val="000000"/>
          <w:vertAlign w:val="superscript"/>
        </w:rPr>
        <w:t xml:space="preserve">2 </w:t>
      </w:r>
      <w:r>
        <w:rPr>
          <w:rFonts w:ascii="Open Sans" w:eastAsia="Open Sans" w:hAnsi="Open Sans" w:cs="Open Sans"/>
          <w:color w:val="000000"/>
        </w:rPr>
        <w:t>al mes. Por otro lado, el municipio con el precio más económico es Villa de Vallecas con 10,54 el metro cuadrado al mes.</w:t>
      </w:r>
    </w:p>
    <w:p w14:paraId="2D92E01A" w14:textId="77777777" w:rsidR="000569D1" w:rsidRDefault="000569D1">
      <w:pPr>
        <w:spacing w:line="276" w:lineRule="auto"/>
        <w:ind w:right="-567"/>
        <w:jc w:val="both"/>
        <w:rPr>
          <w:rFonts w:ascii="Open Sans" w:eastAsia="Open Sans" w:hAnsi="Open Sans" w:cs="Open Sans"/>
          <w:color w:val="000000"/>
        </w:rPr>
      </w:pPr>
    </w:p>
    <w:p w14:paraId="76AC02F5" w14:textId="77777777" w:rsidR="000569D1" w:rsidRDefault="00000000">
      <w:pPr>
        <w:spacing w:line="276" w:lineRule="auto"/>
        <w:ind w:right="-567"/>
        <w:jc w:val="both"/>
        <w:rPr>
          <w:rFonts w:ascii="Open Sans Light" w:eastAsia="Open Sans Light" w:hAnsi="Open Sans Light" w:cs="Open Sans Light"/>
          <w:b/>
          <w:bCs/>
          <w:color w:val="303AB2"/>
          <w:sz w:val="28"/>
          <w:szCs w:val="28"/>
        </w:rPr>
      </w:pPr>
      <w:r>
        <w:rPr>
          <w:rFonts w:ascii="Open Sans Light" w:eastAsia="Open Sans Light" w:hAnsi="Open Sans Light" w:cs="Open Sans Light"/>
          <w:b/>
          <w:bCs/>
          <w:color w:val="303AB2"/>
          <w:sz w:val="28"/>
          <w:szCs w:val="28"/>
        </w:rPr>
        <w:t>Distritos con precio, variación mensual e interanual</w:t>
      </w:r>
    </w:p>
    <w:p w14:paraId="3FFA7614" w14:textId="77777777" w:rsidR="000569D1" w:rsidRDefault="000569D1">
      <w:pPr>
        <w:spacing w:line="276" w:lineRule="auto"/>
        <w:ind w:right="-567"/>
        <w:jc w:val="both"/>
        <w:rPr>
          <w:rFonts w:ascii="Open Sans Light" w:eastAsia="Open Sans Light" w:hAnsi="Open Sans Light" w:cs="Open Sans Light"/>
          <w:b/>
          <w:bCs/>
          <w:color w:val="303AB2"/>
          <w:sz w:val="16"/>
          <w:szCs w:val="16"/>
        </w:rPr>
      </w:pPr>
    </w:p>
    <w:tbl>
      <w:tblPr>
        <w:tblStyle w:val="a6"/>
        <w:tblW w:w="9051" w:type="dxa"/>
        <w:tblInd w:w="-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2835"/>
        <w:gridCol w:w="2268"/>
        <w:gridCol w:w="1985"/>
        <w:gridCol w:w="1963"/>
      </w:tblGrid>
      <w:tr w:rsidR="000569D1" w14:paraId="22575A5B" w14:textId="77777777" w:rsidTr="000569D1">
        <w:trPr>
          <w:cnfStyle w:val="100000000000" w:firstRow="1" w:lastRow="0" w:firstColumn="0" w:lastColumn="0" w:oddVBand="0" w:evenVBand="0" w:oddHBand="0" w:evenHBand="0" w:firstRowFirstColumn="0" w:firstRowLastColumn="0" w:lastRowFirstColumn="0" w:lastRowLastColumn="0"/>
          <w:trHeight w:val="175"/>
        </w:trPr>
        <w:tc>
          <w:tcPr>
            <w:cnfStyle w:val="001000000000" w:firstRow="0" w:lastRow="0" w:firstColumn="1" w:lastColumn="0" w:oddVBand="0" w:evenVBand="0" w:oddHBand="0" w:evenHBand="0" w:firstRowFirstColumn="0" w:firstRowLastColumn="0" w:lastRowFirstColumn="0" w:lastRowLastColumn="0"/>
            <w:tcW w:w="2835" w:type="dxa"/>
            <w:tcBorders>
              <w:bottom w:val="single" w:sz="4" w:space="0" w:color="FFFFFF"/>
            </w:tcBorders>
            <w:vAlign w:val="center"/>
          </w:tcPr>
          <w:p w14:paraId="0690A786"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Distrito</w:t>
            </w:r>
          </w:p>
        </w:tc>
        <w:tc>
          <w:tcPr>
            <w:tcW w:w="2268" w:type="dxa"/>
            <w:tcBorders>
              <w:bottom w:val="single" w:sz="4" w:space="0" w:color="FFFFFF"/>
            </w:tcBorders>
            <w:vAlign w:val="center"/>
          </w:tcPr>
          <w:p w14:paraId="76777361" w14:textId="77777777" w:rsidR="000569D1" w:rsidRDefault="00000000">
            <w:pPr>
              <w:jc w:val="cente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b w:val="0"/>
                <w:bCs w:val="0"/>
                <w:sz w:val="22"/>
                <w:szCs w:val="22"/>
              </w:rPr>
              <w:t>Jul. 2026</w:t>
            </w:r>
          </w:p>
          <w:p w14:paraId="5F9236D0" w14:textId="77777777" w:rsidR="000569D1" w:rsidRDefault="00000000">
            <w:pPr>
              <w:jc w:val="cente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b w:val="0"/>
                <w:bCs w:val="0"/>
                <w:sz w:val="22"/>
                <w:szCs w:val="22"/>
              </w:rPr>
              <w:t>(€/m² al mes)</w:t>
            </w:r>
          </w:p>
        </w:tc>
        <w:tc>
          <w:tcPr>
            <w:tcW w:w="1985" w:type="dxa"/>
            <w:tcBorders>
              <w:bottom w:val="single" w:sz="4" w:space="0" w:color="FFFFFF"/>
            </w:tcBorders>
            <w:vAlign w:val="center"/>
          </w:tcPr>
          <w:p w14:paraId="074DBD08" w14:textId="77777777" w:rsidR="000569D1" w:rsidRDefault="00000000">
            <w:pPr>
              <w:jc w:val="cente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b w:val="0"/>
                <w:bCs w:val="0"/>
                <w:sz w:val="22"/>
                <w:szCs w:val="22"/>
              </w:rPr>
              <w:t>Variación mensual (%)</w:t>
            </w:r>
          </w:p>
        </w:tc>
        <w:tc>
          <w:tcPr>
            <w:tcW w:w="1963" w:type="dxa"/>
            <w:tcBorders>
              <w:bottom w:val="single" w:sz="4" w:space="0" w:color="FFFFFF"/>
            </w:tcBorders>
            <w:vAlign w:val="center"/>
          </w:tcPr>
          <w:p w14:paraId="4C598BDC" w14:textId="77777777" w:rsidR="000569D1" w:rsidRDefault="00000000">
            <w:pPr>
              <w:jc w:val="cente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b w:val="0"/>
                <w:bCs w:val="0"/>
                <w:sz w:val="22"/>
                <w:szCs w:val="22"/>
              </w:rPr>
              <w:t>Variación interanual (%)</w:t>
            </w:r>
          </w:p>
        </w:tc>
      </w:tr>
      <w:tr w:rsidR="000569D1" w14:paraId="622C618E" w14:textId="77777777" w:rsidTr="000569D1">
        <w:trPr>
          <w:cnfStyle w:val="000000100000" w:firstRow="0" w:lastRow="0" w:firstColumn="0" w:lastColumn="0" w:oddVBand="0" w:evenVBand="0" w:oddHBand="1" w:evenHBand="0" w:firstRowFirstColumn="0" w:firstRowLastColumn="0" w:lastRowFirstColumn="0" w:lastRowLastColumn="0"/>
          <w:trHeight w:val="175"/>
        </w:trPr>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FFFFFF"/>
              <w:bottom w:val="single" w:sz="4" w:space="0" w:color="FFFFFF"/>
              <w:right w:val="single" w:sz="4" w:space="0" w:color="FFFFFF"/>
            </w:tcBorders>
            <w:vAlign w:val="bottom"/>
          </w:tcPr>
          <w:p w14:paraId="0C3209F6"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Villa de Vallecas</w:t>
            </w:r>
          </w:p>
        </w:tc>
        <w:tc>
          <w:tcPr>
            <w:tcW w:w="2268" w:type="dxa"/>
            <w:tcBorders>
              <w:top w:val="single" w:sz="4" w:space="0" w:color="FFFFFF"/>
              <w:left w:val="single" w:sz="4" w:space="0" w:color="FFFFFF"/>
              <w:bottom w:val="single" w:sz="4" w:space="0" w:color="FFFFFF"/>
              <w:right w:val="single" w:sz="4" w:space="0" w:color="FFFFFF"/>
            </w:tcBorders>
            <w:vAlign w:val="bottom"/>
          </w:tcPr>
          <w:p w14:paraId="76B4DEFB"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10,54 €</w:t>
            </w:r>
          </w:p>
        </w:tc>
        <w:tc>
          <w:tcPr>
            <w:tcW w:w="1985" w:type="dxa"/>
            <w:tcBorders>
              <w:top w:val="single" w:sz="4" w:space="0" w:color="FFFFFF"/>
              <w:left w:val="single" w:sz="4" w:space="0" w:color="FFFFFF"/>
              <w:bottom w:val="single" w:sz="4" w:space="0" w:color="FFFFFF"/>
              <w:right w:val="single" w:sz="4" w:space="0" w:color="FFFFFF"/>
            </w:tcBorders>
            <w:vAlign w:val="bottom"/>
          </w:tcPr>
          <w:p w14:paraId="13DB415E"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9C0006"/>
                <w:sz w:val="22"/>
                <w:szCs w:val="22"/>
              </w:rPr>
            </w:pPr>
            <w:r>
              <w:rPr>
                <w:rFonts w:ascii="Open Sans" w:eastAsia="Open Sans" w:hAnsi="Open Sans" w:cs="Open Sans"/>
                <w:color w:val="9C0006"/>
                <w:sz w:val="22"/>
                <w:szCs w:val="22"/>
              </w:rPr>
              <w:t>-34,5%</w:t>
            </w:r>
          </w:p>
        </w:tc>
        <w:tc>
          <w:tcPr>
            <w:tcW w:w="1963" w:type="dxa"/>
            <w:tcBorders>
              <w:top w:val="single" w:sz="4" w:space="0" w:color="FFFFFF"/>
              <w:left w:val="single" w:sz="4" w:space="0" w:color="FFFFFF"/>
              <w:bottom w:val="single" w:sz="4" w:space="0" w:color="FFFFFF"/>
              <w:right w:val="single" w:sz="4" w:space="0" w:color="FFFFFF"/>
            </w:tcBorders>
            <w:vAlign w:val="bottom"/>
          </w:tcPr>
          <w:p w14:paraId="5D676221"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9C0006"/>
                <w:sz w:val="22"/>
                <w:szCs w:val="22"/>
              </w:rPr>
            </w:pPr>
            <w:r>
              <w:rPr>
                <w:rFonts w:ascii="Open Sans" w:eastAsia="Open Sans" w:hAnsi="Open Sans" w:cs="Open Sans"/>
                <w:b/>
                <w:bCs/>
                <w:color w:val="9C0006"/>
                <w:sz w:val="22"/>
                <w:szCs w:val="22"/>
              </w:rPr>
              <w:t>-34,8%</w:t>
            </w:r>
          </w:p>
        </w:tc>
      </w:tr>
      <w:tr w:rsidR="000569D1" w14:paraId="4691049A" w14:textId="77777777" w:rsidTr="000569D1">
        <w:trPr>
          <w:trHeight w:val="175"/>
        </w:trPr>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FFFFFF"/>
              <w:bottom w:val="single" w:sz="4" w:space="0" w:color="FFFFFF"/>
              <w:right w:val="single" w:sz="4" w:space="0" w:color="FFFFFF"/>
            </w:tcBorders>
            <w:vAlign w:val="bottom"/>
          </w:tcPr>
          <w:p w14:paraId="5BA76F0F"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Villaverde</w:t>
            </w:r>
          </w:p>
        </w:tc>
        <w:tc>
          <w:tcPr>
            <w:tcW w:w="2268" w:type="dxa"/>
            <w:tcBorders>
              <w:top w:val="single" w:sz="4" w:space="0" w:color="FFFFFF"/>
              <w:left w:val="single" w:sz="4" w:space="0" w:color="FFFFFF"/>
              <w:bottom w:val="single" w:sz="4" w:space="0" w:color="FFFFFF"/>
              <w:right w:val="single" w:sz="4" w:space="0" w:color="FFFFFF"/>
            </w:tcBorders>
            <w:vAlign w:val="bottom"/>
          </w:tcPr>
          <w:p w14:paraId="415C708F"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17,70 €</w:t>
            </w:r>
          </w:p>
        </w:tc>
        <w:tc>
          <w:tcPr>
            <w:tcW w:w="1985" w:type="dxa"/>
            <w:tcBorders>
              <w:top w:val="single" w:sz="4" w:space="0" w:color="FFFFFF"/>
              <w:left w:val="single" w:sz="4" w:space="0" w:color="FFFFFF"/>
              <w:bottom w:val="single" w:sz="4" w:space="0" w:color="FFFFFF"/>
              <w:right w:val="single" w:sz="4" w:space="0" w:color="FFFFFF"/>
            </w:tcBorders>
            <w:vAlign w:val="bottom"/>
          </w:tcPr>
          <w:p w14:paraId="1256FD30"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9C0006"/>
                <w:sz w:val="22"/>
                <w:szCs w:val="22"/>
              </w:rPr>
            </w:pPr>
            <w:r>
              <w:rPr>
                <w:rFonts w:ascii="Open Sans" w:eastAsia="Open Sans" w:hAnsi="Open Sans" w:cs="Open Sans"/>
                <w:color w:val="000000"/>
                <w:sz w:val="22"/>
                <w:szCs w:val="22"/>
              </w:rPr>
              <w:t>1,9%</w:t>
            </w:r>
          </w:p>
        </w:tc>
        <w:tc>
          <w:tcPr>
            <w:tcW w:w="1963" w:type="dxa"/>
            <w:tcBorders>
              <w:top w:val="single" w:sz="4" w:space="0" w:color="FFFFFF"/>
              <w:left w:val="single" w:sz="4" w:space="0" w:color="FFFFFF"/>
              <w:bottom w:val="single" w:sz="4" w:space="0" w:color="FFFFFF"/>
              <w:right w:val="single" w:sz="4" w:space="0" w:color="FFFFFF"/>
            </w:tcBorders>
            <w:vAlign w:val="bottom"/>
          </w:tcPr>
          <w:p w14:paraId="2E3BC8BF"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9C0006"/>
                <w:sz w:val="22"/>
                <w:szCs w:val="22"/>
              </w:rPr>
            </w:pPr>
            <w:r>
              <w:rPr>
                <w:rFonts w:ascii="Open Sans" w:eastAsia="Open Sans" w:hAnsi="Open Sans" w:cs="Open Sans"/>
                <w:b/>
                <w:bCs/>
                <w:color w:val="9C0006"/>
                <w:sz w:val="22"/>
                <w:szCs w:val="22"/>
              </w:rPr>
              <w:t>-19,2%</w:t>
            </w:r>
          </w:p>
        </w:tc>
      </w:tr>
      <w:tr w:rsidR="000569D1" w14:paraId="0CF27971" w14:textId="77777777" w:rsidTr="000569D1">
        <w:trPr>
          <w:cnfStyle w:val="000000100000" w:firstRow="0" w:lastRow="0" w:firstColumn="0" w:lastColumn="0" w:oddVBand="0" w:evenVBand="0" w:oddHBand="1" w:evenHBand="0" w:firstRowFirstColumn="0" w:firstRowLastColumn="0" w:lastRowFirstColumn="0" w:lastRowLastColumn="0"/>
          <w:trHeight w:val="175"/>
        </w:trPr>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FFFFFF"/>
              <w:bottom w:val="single" w:sz="4" w:space="0" w:color="FFFFFF"/>
              <w:right w:val="single" w:sz="4" w:space="0" w:color="FFFFFF"/>
            </w:tcBorders>
            <w:vAlign w:val="bottom"/>
          </w:tcPr>
          <w:p w14:paraId="446A7125"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Retiro</w:t>
            </w:r>
          </w:p>
        </w:tc>
        <w:tc>
          <w:tcPr>
            <w:tcW w:w="2268" w:type="dxa"/>
            <w:tcBorders>
              <w:top w:val="single" w:sz="4" w:space="0" w:color="FFFFFF"/>
              <w:left w:val="single" w:sz="4" w:space="0" w:color="FFFFFF"/>
              <w:bottom w:val="single" w:sz="4" w:space="0" w:color="FFFFFF"/>
              <w:right w:val="single" w:sz="4" w:space="0" w:color="FFFFFF"/>
            </w:tcBorders>
            <w:vAlign w:val="bottom"/>
          </w:tcPr>
          <w:p w14:paraId="4283732E"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18,55 €</w:t>
            </w:r>
          </w:p>
        </w:tc>
        <w:tc>
          <w:tcPr>
            <w:tcW w:w="1985" w:type="dxa"/>
            <w:tcBorders>
              <w:top w:val="single" w:sz="4" w:space="0" w:color="FFFFFF"/>
              <w:left w:val="single" w:sz="4" w:space="0" w:color="FFFFFF"/>
              <w:bottom w:val="single" w:sz="4" w:space="0" w:color="FFFFFF"/>
              <w:right w:val="single" w:sz="4" w:space="0" w:color="FFFFFF"/>
            </w:tcBorders>
            <w:vAlign w:val="bottom"/>
          </w:tcPr>
          <w:p w14:paraId="47E68447"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9C0006"/>
                <w:sz w:val="22"/>
                <w:szCs w:val="22"/>
              </w:rPr>
            </w:pPr>
            <w:r>
              <w:rPr>
                <w:rFonts w:ascii="Open Sans" w:eastAsia="Open Sans" w:hAnsi="Open Sans" w:cs="Open Sans"/>
                <w:color w:val="9C0006"/>
                <w:sz w:val="22"/>
                <w:szCs w:val="22"/>
              </w:rPr>
              <w:t>-15,4%</w:t>
            </w:r>
          </w:p>
        </w:tc>
        <w:tc>
          <w:tcPr>
            <w:tcW w:w="1963" w:type="dxa"/>
            <w:tcBorders>
              <w:top w:val="single" w:sz="4" w:space="0" w:color="FFFFFF"/>
              <w:left w:val="single" w:sz="4" w:space="0" w:color="FFFFFF"/>
              <w:bottom w:val="single" w:sz="4" w:space="0" w:color="FFFFFF"/>
              <w:right w:val="single" w:sz="4" w:space="0" w:color="FFFFFF"/>
            </w:tcBorders>
            <w:vAlign w:val="bottom"/>
          </w:tcPr>
          <w:p w14:paraId="716D6617"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9C0006"/>
                <w:sz w:val="22"/>
                <w:szCs w:val="22"/>
              </w:rPr>
            </w:pPr>
            <w:r>
              <w:rPr>
                <w:rFonts w:ascii="Open Sans" w:eastAsia="Open Sans" w:hAnsi="Open Sans" w:cs="Open Sans"/>
                <w:b/>
                <w:bCs/>
                <w:color w:val="9C0006"/>
                <w:sz w:val="22"/>
                <w:szCs w:val="22"/>
              </w:rPr>
              <w:t>-16,0%</w:t>
            </w:r>
          </w:p>
        </w:tc>
      </w:tr>
      <w:tr w:rsidR="000569D1" w14:paraId="42852948" w14:textId="77777777" w:rsidTr="000569D1">
        <w:trPr>
          <w:trHeight w:val="175"/>
        </w:trPr>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FFFFFF"/>
              <w:bottom w:val="single" w:sz="4" w:space="0" w:color="FFFFFF"/>
              <w:right w:val="single" w:sz="4" w:space="0" w:color="FFFFFF"/>
            </w:tcBorders>
            <w:vAlign w:val="bottom"/>
          </w:tcPr>
          <w:p w14:paraId="4D29ABE8"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Tetuán</w:t>
            </w:r>
          </w:p>
        </w:tc>
        <w:tc>
          <w:tcPr>
            <w:tcW w:w="2268" w:type="dxa"/>
            <w:tcBorders>
              <w:top w:val="single" w:sz="4" w:space="0" w:color="FFFFFF"/>
              <w:left w:val="single" w:sz="4" w:space="0" w:color="FFFFFF"/>
              <w:bottom w:val="single" w:sz="4" w:space="0" w:color="FFFFFF"/>
              <w:right w:val="single" w:sz="4" w:space="0" w:color="FFFFFF"/>
            </w:tcBorders>
            <w:vAlign w:val="bottom"/>
          </w:tcPr>
          <w:p w14:paraId="52B4C48A"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19,35 €</w:t>
            </w:r>
          </w:p>
        </w:tc>
        <w:tc>
          <w:tcPr>
            <w:tcW w:w="1985" w:type="dxa"/>
            <w:tcBorders>
              <w:top w:val="single" w:sz="4" w:space="0" w:color="FFFFFF"/>
              <w:left w:val="single" w:sz="4" w:space="0" w:color="FFFFFF"/>
              <w:bottom w:val="single" w:sz="4" w:space="0" w:color="FFFFFF"/>
              <w:right w:val="single" w:sz="4" w:space="0" w:color="FFFFFF"/>
            </w:tcBorders>
            <w:vAlign w:val="bottom"/>
          </w:tcPr>
          <w:p w14:paraId="7BE4B321"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9C0006"/>
                <w:sz w:val="22"/>
                <w:szCs w:val="22"/>
              </w:rPr>
            </w:pPr>
            <w:r>
              <w:rPr>
                <w:rFonts w:ascii="Open Sans" w:eastAsia="Open Sans" w:hAnsi="Open Sans" w:cs="Open Sans"/>
                <w:color w:val="9C0006"/>
                <w:sz w:val="22"/>
                <w:szCs w:val="22"/>
              </w:rPr>
              <w:t>-14,2%</w:t>
            </w:r>
          </w:p>
        </w:tc>
        <w:tc>
          <w:tcPr>
            <w:tcW w:w="1963" w:type="dxa"/>
            <w:tcBorders>
              <w:top w:val="single" w:sz="4" w:space="0" w:color="FFFFFF"/>
              <w:left w:val="single" w:sz="4" w:space="0" w:color="FFFFFF"/>
              <w:bottom w:val="single" w:sz="4" w:space="0" w:color="FFFFFF"/>
              <w:right w:val="single" w:sz="4" w:space="0" w:color="FFFFFF"/>
            </w:tcBorders>
            <w:vAlign w:val="bottom"/>
          </w:tcPr>
          <w:p w14:paraId="0FB8E065"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9C0006"/>
                <w:sz w:val="22"/>
                <w:szCs w:val="22"/>
              </w:rPr>
            </w:pPr>
            <w:r>
              <w:rPr>
                <w:rFonts w:ascii="Open Sans" w:eastAsia="Open Sans" w:hAnsi="Open Sans" w:cs="Open Sans"/>
                <w:b/>
                <w:bCs/>
                <w:color w:val="9C0006"/>
                <w:sz w:val="22"/>
                <w:szCs w:val="22"/>
              </w:rPr>
              <w:t>-14,0%</w:t>
            </w:r>
          </w:p>
        </w:tc>
      </w:tr>
      <w:tr w:rsidR="000569D1" w14:paraId="5DFBBAE7" w14:textId="77777777" w:rsidTr="000569D1">
        <w:trPr>
          <w:cnfStyle w:val="000000100000" w:firstRow="0" w:lastRow="0" w:firstColumn="0" w:lastColumn="0" w:oddVBand="0" w:evenVBand="0" w:oddHBand="1" w:evenHBand="0" w:firstRowFirstColumn="0" w:firstRowLastColumn="0" w:lastRowFirstColumn="0" w:lastRowLastColumn="0"/>
          <w:trHeight w:val="175"/>
        </w:trPr>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FFFFFF"/>
              <w:bottom w:val="single" w:sz="4" w:space="0" w:color="FFFFFF"/>
              <w:right w:val="single" w:sz="4" w:space="0" w:color="FFFFFF"/>
            </w:tcBorders>
            <w:vAlign w:val="bottom"/>
          </w:tcPr>
          <w:p w14:paraId="098D778A"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Centro</w:t>
            </w:r>
          </w:p>
        </w:tc>
        <w:tc>
          <w:tcPr>
            <w:tcW w:w="2268" w:type="dxa"/>
            <w:tcBorders>
              <w:top w:val="single" w:sz="4" w:space="0" w:color="FFFFFF"/>
              <w:left w:val="single" w:sz="4" w:space="0" w:color="FFFFFF"/>
              <w:bottom w:val="single" w:sz="4" w:space="0" w:color="FFFFFF"/>
              <w:right w:val="single" w:sz="4" w:space="0" w:color="FFFFFF"/>
            </w:tcBorders>
            <w:vAlign w:val="bottom"/>
          </w:tcPr>
          <w:p w14:paraId="132FAE72"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20,73 €</w:t>
            </w:r>
          </w:p>
        </w:tc>
        <w:tc>
          <w:tcPr>
            <w:tcW w:w="1985" w:type="dxa"/>
            <w:tcBorders>
              <w:top w:val="single" w:sz="4" w:space="0" w:color="FFFFFF"/>
              <w:left w:val="single" w:sz="4" w:space="0" w:color="FFFFFF"/>
              <w:bottom w:val="single" w:sz="4" w:space="0" w:color="FFFFFF"/>
              <w:right w:val="single" w:sz="4" w:space="0" w:color="FFFFFF"/>
            </w:tcBorders>
            <w:vAlign w:val="bottom"/>
          </w:tcPr>
          <w:p w14:paraId="2743FF91"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9C0006"/>
                <w:sz w:val="22"/>
                <w:szCs w:val="22"/>
              </w:rPr>
            </w:pPr>
            <w:r>
              <w:rPr>
                <w:rFonts w:ascii="Open Sans" w:eastAsia="Open Sans" w:hAnsi="Open Sans" w:cs="Open Sans"/>
                <w:color w:val="9C0006"/>
                <w:sz w:val="22"/>
                <w:szCs w:val="22"/>
              </w:rPr>
              <w:t>-13,4%</w:t>
            </w:r>
          </w:p>
        </w:tc>
        <w:tc>
          <w:tcPr>
            <w:tcW w:w="1963" w:type="dxa"/>
            <w:tcBorders>
              <w:top w:val="single" w:sz="4" w:space="0" w:color="FFFFFF"/>
              <w:left w:val="single" w:sz="4" w:space="0" w:color="FFFFFF"/>
              <w:bottom w:val="single" w:sz="4" w:space="0" w:color="FFFFFF"/>
              <w:right w:val="single" w:sz="4" w:space="0" w:color="FFFFFF"/>
            </w:tcBorders>
            <w:vAlign w:val="bottom"/>
          </w:tcPr>
          <w:p w14:paraId="76B02155"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9C0006"/>
                <w:sz w:val="22"/>
                <w:szCs w:val="22"/>
              </w:rPr>
              <w:t>-14,0%</w:t>
            </w:r>
          </w:p>
        </w:tc>
      </w:tr>
      <w:tr w:rsidR="000569D1" w14:paraId="34FE1507" w14:textId="77777777" w:rsidTr="000569D1">
        <w:trPr>
          <w:trHeight w:val="175"/>
        </w:trPr>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FFFFFF"/>
              <w:bottom w:val="single" w:sz="4" w:space="0" w:color="FFFFFF"/>
              <w:right w:val="single" w:sz="4" w:space="0" w:color="FFFFFF"/>
            </w:tcBorders>
            <w:vAlign w:val="bottom"/>
          </w:tcPr>
          <w:p w14:paraId="1D3E2808"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Puente de Vallecas</w:t>
            </w:r>
          </w:p>
        </w:tc>
        <w:tc>
          <w:tcPr>
            <w:tcW w:w="2268" w:type="dxa"/>
            <w:tcBorders>
              <w:top w:val="single" w:sz="4" w:space="0" w:color="FFFFFF"/>
              <w:left w:val="single" w:sz="4" w:space="0" w:color="FFFFFF"/>
              <w:bottom w:val="single" w:sz="4" w:space="0" w:color="FFFFFF"/>
              <w:right w:val="single" w:sz="4" w:space="0" w:color="FFFFFF"/>
            </w:tcBorders>
            <w:vAlign w:val="bottom"/>
          </w:tcPr>
          <w:p w14:paraId="749274E6"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17,94 €</w:t>
            </w:r>
          </w:p>
        </w:tc>
        <w:tc>
          <w:tcPr>
            <w:tcW w:w="1985" w:type="dxa"/>
            <w:tcBorders>
              <w:top w:val="single" w:sz="4" w:space="0" w:color="FFFFFF"/>
              <w:left w:val="single" w:sz="4" w:space="0" w:color="FFFFFF"/>
              <w:bottom w:val="single" w:sz="4" w:space="0" w:color="FFFFFF"/>
              <w:right w:val="single" w:sz="4" w:space="0" w:color="FFFFFF"/>
            </w:tcBorders>
            <w:vAlign w:val="bottom"/>
          </w:tcPr>
          <w:p w14:paraId="319B8C06"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9C0006"/>
                <w:sz w:val="22"/>
                <w:szCs w:val="22"/>
              </w:rPr>
            </w:pPr>
            <w:r>
              <w:rPr>
                <w:rFonts w:ascii="Open Sans" w:eastAsia="Open Sans" w:hAnsi="Open Sans" w:cs="Open Sans"/>
                <w:color w:val="9C0006"/>
                <w:sz w:val="22"/>
                <w:szCs w:val="22"/>
              </w:rPr>
              <w:t>-12,4%</w:t>
            </w:r>
          </w:p>
        </w:tc>
        <w:tc>
          <w:tcPr>
            <w:tcW w:w="1963" w:type="dxa"/>
            <w:tcBorders>
              <w:top w:val="single" w:sz="4" w:space="0" w:color="FFFFFF"/>
              <w:left w:val="single" w:sz="4" w:space="0" w:color="FFFFFF"/>
              <w:bottom w:val="single" w:sz="4" w:space="0" w:color="FFFFFF"/>
              <w:right w:val="single" w:sz="4" w:space="0" w:color="FFFFFF"/>
            </w:tcBorders>
            <w:vAlign w:val="bottom"/>
          </w:tcPr>
          <w:p w14:paraId="37578E62"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9C0006"/>
                <w:sz w:val="22"/>
                <w:szCs w:val="22"/>
              </w:rPr>
              <w:t>-13,5%</w:t>
            </w:r>
          </w:p>
        </w:tc>
      </w:tr>
      <w:tr w:rsidR="000569D1" w14:paraId="4BFDB89F" w14:textId="77777777" w:rsidTr="000569D1">
        <w:trPr>
          <w:cnfStyle w:val="000000100000" w:firstRow="0" w:lastRow="0" w:firstColumn="0" w:lastColumn="0" w:oddVBand="0" w:evenVBand="0" w:oddHBand="1" w:evenHBand="0" w:firstRowFirstColumn="0" w:firstRowLastColumn="0" w:lastRowFirstColumn="0" w:lastRowLastColumn="0"/>
          <w:trHeight w:val="175"/>
        </w:trPr>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FFFFFF"/>
              <w:bottom w:val="single" w:sz="4" w:space="0" w:color="FFFFFF"/>
              <w:right w:val="single" w:sz="4" w:space="0" w:color="FFFFFF"/>
            </w:tcBorders>
            <w:vAlign w:val="bottom"/>
          </w:tcPr>
          <w:p w14:paraId="127975B4"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Chamartín</w:t>
            </w:r>
          </w:p>
        </w:tc>
        <w:tc>
          <w:tcPr>
            <w:tcW w:w="2268" w:type="dxa"/>
            <w:tcBorders>
              <w:top w:val="single" w:sz="4" w:space="0" w:color="FFFFFF"/>
              <w:left w:val="single" w:sz="4" w:space="0" w:color="FFFFFF"/>
              <w:bottom w:val="single" w:sz="4" w:space="0" w:color="FFFFFF"/>
              <w:right w:val="single" w:sz="4" w:space="0" w:color="FFFFFF"/>
            </w:tcBorders>
            <w:vAlign w:val="bottom"/>
          </w:tcPr>
          <w:p w14:paraId="58A52ACB"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19,93 €</w:t>
            </w:r>
          </w:p>
        </w:tc>
        <w:tc>
          <w:tcPr>
            <w:tcW w:w="1985" w:type="dxa"/>
            <w:tcBorders>
              <w:top w:val="single" w:sz="4" w:space="0" w:color="FFFFFF"/>
              <w:left w:val="single" w:sz="4" w:space="0" w:color="FFFFFF"/>
              <w:bottom w:val="single" w:sz="4" w:space="0" w:color="FFFFFF"/>
              <w:right w:val="single" w:sz="4" w:space="0" w:color="FFFFFF"/>
            </w:tcBorders>
            <w:vAlign w:val="bottom"/>
          </w:tcPr>
          <w:p w14:paraId="5367949F"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9C0006"/>
                <w:sz w:val="22"/>
                <w:szCs w:val="22"/>
              </w:rPr>
            </w:pPr>
            <w:r>
              <w:rPr>
                <w:rFonts w:ascii="Open Sans" w:eastAsia="Open Sans" w:hAnsi="Open Sans" w:cs="Open Sans"/>
                <w:color w:val="9C0006"/>
                <w:sz w:val="22"/>
                <w:szCs w:val="22"/>
              </w:rPr>
              <w:t>-15,5%</w:t>
            </w:r>
          </w:p>
        </w:tc>
        <w:tc>
          <w:tcPr>
            <w:tcW w:w="1963" w:type="dxa"/>
            <w:tcBorders>
              <w:top w:val="single" w:sz="4" w:space="0" w:color="FFFFFF"/>
              <w:left w:val="single" w:sz="4" w:space="0" w:color="FFFFFF"/>
              <w:bottom w:val="single" w:sz="4" w:space="0" w:color="FFFFFF"/>
              <w:right w:val="single" w:sz="4" w:space="0" w:color="FFFFFF"/>
            </w:tcBorders>
            <w:vAlign w:val="bottom"/>
          </w:tcPr>
          <w:p w14:paraId="47BD80A9"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9C0006"/>
                <w:sz w:val="22"/>
                <w:szCs w:val="22"/>
              </w:rPr>
              <w:t>-12,5%</w:t>
            </w:r>
          </w:p>
        </w:tc>
      </w:tr>
      <w:tr w:rsidR="000569D1" w14:paraId="79ED1F54" w14:textId="77777777" w:rsidTr="000569D1">
        <w:trPr>
          <w:trHeight w:val="175"/>
        </w:trPr>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FFFFFF"/>
              <w:bottom w:val="single" w:sz="4" w:space="0" w:color="FFFFFF"/>
              <w:right w:val="single" w:sz="4" w:space="0" w:color="FFFFFF"/>
            </w:tcBorders>
            <w:vAlign w:val="bottom"/>
          </w:tcPr>
          <w:p w14:paraId="5FA094CF"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Chamberí</w:t>
            </w:r>
          </w:p>
        </w:tc>
        <w:tc>
          <w:tcPr>
            <w:tcW w:w="2268" w:type="dxa"/>
            <w:tcBorders>
              <w:top w:val="single" w:sz="4" w:space="0" w:color="FFFFFF"/>
              <w:left w:val="single" w:sz="4" w:space="0" w:color="FFFFFF"/>
              <w:bottom w:val="single" w:sz="4" w:space="0" w:color="FFFFFF"/>
              <w:right w:val="single" w:sz="4" w:space="0" w:color="FFFFFF"/>
            </w:tcBorders>
            <w:vAlign w:val="bottom"/>
          </w:tcPr>
          <w:p w14:paraId="2E79BC5E"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20,71 €</w:t>
            </w:r>
          </w:p>
        </w:tc>
        <w:tc>
          <w:tcPr>
            <w:tcW w:w="1985" w:type="dxa"/>
            <w:tcBorders>
              <w:top w:val="single" w:sz="4" w:space="0" w:color="FFFFFF"/>
              <w:left w:val="single" w:sz="4" w:space="0" w:color="FFFFFF"/>
              <w:bottom w:val="single" w:sz="4" w:space="0" w:color="FFFFFF"/>
              <w:right w:val="single" w:sz="4" w:space="0" w:color="FFFFFF"/>
            </w:tcBorders>
            <w:vAlign w:val="bottom"/>
          </w:tcPr>
          <w:p w14:paraId="0F3C1C99"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9C0006"/>
                <w:sz w:val="22"/>
                <w:szCs w:val="22"/>
              </w:rPr>
            </w:pPr>
            <w:r>
              <w:rPr>
                <w:rFonts w:ascii="Open Sans" w:eastAsia="Open Sans" w:hAnsi="Open Sans" w:cs="Open Sans"/>
                <w:color w:val="9C0006"/>
                <w:sz w:val="22"/>
                <w:szCs w:val="22"/>
              </w:rPr>
              <w:t>-14,2%</w:t>
            </w:r>
          </w:p>
        </w:tc>
        <w:tc>
          <w:tcPr>
            <w:tcW w:w="1963" w:type="dxa"/>
            <w:tcBorders>
              <w:top w:val="single" w:sz="4" w:space="0" w:color="FFFFFF"/>
              <w:left w:val="single" w:sz="4" w:space="0" w:color="FFFFFF"/>
              <w:bottom w:val="single" w:sz="4" w:space="0" w:color="FFFFFF"/>
              <w:right w:val="single" w:sz="4" w:space="0" w:color="FFFFFF"/>
            </w:tcBorders>
            <w:vAlign w:val="bottom"/>
          </w:tcPr>
          <w:p w14:paraId="1021C0C6"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9C0006"/>
                <w:sz w:val="22"/>
                <w:szCs w:val="22"/>
              </w:rPr>
              <w:t>-12,5%</w:t>
            </w:r>
          </w:p>
        </w:tc>
      </w:tr>
      <w:tr w:rsidR="000569D1" w14:paraId="5C887595" w14:textId="77777777" w:rsidTr="000569D1">
        <w:trPr>
          <w:cnfStyle w:val="000000100000" w:firstRow="0" w:lastRow="0" w:firstColumn="0" w:lastColumn="0" w:oddVBand="0" w:evenVBand="0" w:oddHBand="1" w:evenHBand="0" w:firstRowFirstColumn="0" w:firstRowLastColumn="0" w:lastRowFirstColumn="0" w:lastRowLastColumn="0"/>
          <w:trHeight w:val="175"/>
        </w:trPr>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FFFFFF"/>
              <w:bottom w:val="single" w:sz="4" w:space="0" w:color="FFFFFF"/>
              <w:right w:val="single" w:sz="4" w:space="0" w:color="FFFFFF"/>
            </w:tcBorders>
            <w:vAlign w:val="bottom"/>
          </w:tcPr>
          <w:p w14:paraId="18D7CA96"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Latina</w:t>
            </w:r>
          </w:p>
        </w:tc>
        <w:tc>
          <w:tcPr>
            <w:tcW w:w="2268" w:type="dxa"/>
            <w:tcBorders>
              <w:top w:val="single" w:sz="4" w:space="0" w:color="FFFFFF"/>
              <w:left w:val="single" w:sz="4" w:space="0" w:color="FFFFFF"/>
              <w:bottom w:val="single" w:sz="4" w:space="0" w:color="FFFFFF"/>
              <w:right w:val="single" w:sz="4" w:space="0" w:color="FFFFFF"/>
            </w:tcBorders>
            <w:vAlign w:val="bottom"/>
          </w:tcPr>
          <w:p w14:paraId="298393B7"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17,81 €</w:t>
            </w:r>
          </w:p>
        </w:tc>
        <w:tc>
          <w:tcPr>
            <w:tcW w:w="1985" w:type="dxa"/>
            <w:tcBorders>
              <w:top w:val="single" w:sz="4" w:space="0" w:color="FFFFFF"/>
              <w:left w:val="single" w:sz="4" w:space="0" w:color="FFFFFF"/>
              <w:bottom w:val="single" w:sz="4" w:space="0" w:color="FFFFFF"/>
              <w:right w:val="single" w:sz="4" w:space="0" w:color="FFFFFF"/>
            </w:tcBorders>
            <w:vAlign w:val="bottom"/>
          </w:tcPr>
          <w:p w14:paraId="37C6A84D"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9C0006"/>
                <w:sz w:val="22"/>
                <w:szCs w:val="22"/>
              </w:rPr>
            </w:pPr>
            <w:r>
              <w:rPr>
                <w:rFonts w:ascii="Open Sans" w:eastAsia="Open Sans" w:hAnsi="Open Sans" w:cs="Open Sans"/>
                <w:color w:val="9C0006"/>
                <w:sz w:val="22"/>
                <w:szCs w:val="22"/>
              </w:rPr>
              <w:t>-14,9%</w:t>
            </w:r>
          </w:p>
        </w:tc>
        <w:tc>
          <w:tcPr>
            <w:tcW w:w="1963" w:type="dxa"/>
            <w:tcBorders>
              <w:top w:val="single" w:sz="4" w:space="0" w:color="FFFFFF"/>
              <w:left w:val="single" w:sz="4" w:space="0" w:color="FFFFFF"/>
              <w:bottom w:val="single" w:sz="4" w:space="0" w:color="FFFFFF"/>
              <w:right w:val="single" w:sz="4" w:space="0" w:color="FFFFFF"/>
            </w:tcBorders>
            <w:vAlign w:val="bottom"/>
          </w:tcPr>
          <w:p w14:paraId="5B335D20"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9C0006"/>
                <w:sz w:val="22"/>
                <w:szCs w:val="22"/>
              </w:rPr>
            </w:pPr>
            <w:r>
              <w:rPr>
                <w:rFonts w:ascii="Open Sans" w:eastAsia="Open Sans" w:hAnsi="Open Sans" w:cs="Open Sans"/>
                <w:b/>
                <w:bCs/>
                <w:color w:val="9C0006"/>
                <w:sz w:val="22"/>
                <w:szCs w:val="22"/>
              </w:rPr>
              <w:t>-11,1%</w:t>
            </w:r>
          </w:p>
        </w:tc>
      </w:tr>
      <w:tr w:rsidR="000569D1" w14:paraId="629E7148" w14:textId="77777777" w:rsidTr="000569D1">
        <w:trPr>
          <w:trHeight w:val="175"/>
        </w:trPr>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FFFFFF"/>
              <w:bottom w:val="single" w:sz="4" w:space="0" w:color="FFFFFF"/>
              <w:right w:val="single" w:sz="4" w:space="0" w:color="FFFFFF"/>
            </w:tcBorders>
            <w:vAlign w:val="bottom"/>
          </w:tcPr>
          <w:p w14:paraId="7A13B09D"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Barrio de Salamanca</w:t>
            </w:r>
          </w:p>
        </w:tc>
        <w:tc>
          <w:tcPr>
            <w:tcW w:w="2268" w:type="dxa"/>
            <w:tcBorders>
              <w:top w:val="single" w:sz="4" w:space="0" w:color="FFFFFF"/>
              <w:left w:val="single" w:sz="4" w:space="0" w:color="FFFFFF"/>
              <w:bottom w:val="single" w:sz="4" w:space="0" w:color="FFFFFF"/>
              <w:right w:val="single" w:sz="4" w:space="0" w:color="FFFFFF"/>
            </w:tcBorders>
            <w:vAlign w:val="bottom"/>
          </w:tcPr>
          <w:p w14:paraId="606B6EEB"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21,49 €</w:t>
            </w:r>
          </w:p>
        </w:tc>
        <w:tc>
          <w:tcPr>
            <w:tcW w:w="1985" w:type="dxa"/>
            <w:tcBorders>
              <w:top w:val="single" w:sz="4" w:space="0" w:color="FFFFFF"/>
              <w:left w:val="single" w:sz="4" w:space="0" w:color="FFFFFF"/>
              <w:bottom w:val="single" w:sz="4" w:space="0" w:color="FFFFFF"/>
              <w:right w:val="single" w:sz="4" w:space="0" w:color="FFFFFF"/>
            </w:tcBorders>
            <w:vAlign w:val="bottom"/>
          </w:tcPr>
          <w:p w14:paraId="148B1F31"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9C0006"/>
                <w:sz w:val="22"/>
                <w:szCs w:val="22"/>
              </w:rPr>
            </w:pPr>
            <w:r>
              <w:rPr>
                <w:rFonts w:ascii="Open Sans" w:eastAsia="Open Sans" w:hAnsi="Open Sans" w:cs="Open Sans"/>
                <w:color w:val="9C0006"/>
                <w:sz w:val="22"/>
                <w:szCs w:val="22"/>
              </w:rPr>
              <w:t>-11,9%</w:t>
            </w:r>
          </w:p>
        </w:tc>
        <w:tc>
          <w:tcPr>
            <w:tcW w:w="1963" w:type="dxa"/>
            <w:tcBorders>
              <w:top w:val="single" w:sz="4" w:space="0" w:color="FFFFFF"/>
              <w:left w:val="single" w:sz="4" w:space="0" w:color="FFFFFF"/>
              <w:bottom w:val="single" w:sz="4" w:space="0" w:color="FFFFFF"/>
              <w:right w:val="single" w:sz="4" w:space="0" w:color="FFFFFF"/>
            </w:tcBorders>
            <w:vAlign w:val="bottom"/>
          </w:tcPr>
          <w:p w14:paraId="38384AE8"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9C0006"/>
                <w:sz w:val="22"/>
                <w:szCs w:val="22"/>
              </w:rPr>
            </w:pPr>
            <w:r>
              <w:rPr>
                <w:rFonts w:ascii="Open Sans" w:eastAsia="Open Sans" w:hAnsi="Open Sans" w:cs="Open Sans"/>
                <w:b/>
                <w:bCs/>
                <w:color w:val="9C0006"/>
                <w:sz w:val="22"/>
                <w:szCs w:val="22"/>
              </w:rPr>
              <w:t>-10,6%</w:t>
            </w:r>
          </w:p>
        </w:tc>
      </w:tr>
      <w:tr w:rsidR="000569D1" w14:paraId="7370001E" w14:textId="77777777" w:rsidTr="000569D1">
        <w:trPr>
          <w:cnfStyle w:val="000000100000" w:firstRow="0" w:lastRow="0" w:firstColumn="0" w:lastColumn="0" w:oddVBand="0" w:evenVBand="0" w:oddHBand="1" w:evenHBand="0" w:firstRowFirstColumn="0" w:firstRowLastColumn="0" w:lastRowFirstColumn="0" w:lastRowLastColumn="0"/>
          <w:trHeight w:val="175"/>
        </w:trPr>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FFFFFF"/>
              <w:bottom w:val="single" w:sz="4" w:space="0" w:color="FFFFFF"/>
              <w:right w:val="single" w:sz="4" w:space="0" w:color="FFFFFF"/>
            </w:tcBorders>
            <w:vAlign w:val="bottom"/>
          </w:tcPr>
          <w:p w14:paraId="736CD08A"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Fuencarral - El Pardo</w:t>
            </w:r>
          </w:p>
        </w:tc>
        <w:tc>
          <w:tcPr>
            <w:tcW w:w="2268" w:type="dxa"/>
            <w:tcBorders>
              <w:top w:val="single" w:sz="4" w:space="0" w:color="FFFFFF"/>
              <w:left w:val="single" w:sz="4" w:space="0" w:color="FFFFFF"/>
              <w:bottom w:val="single" w:sz="4" w:space="0" w:color="FFFFFF"/>
              <w:right w:val="single" w:sz="4" w:space="0" w:color="FFFFFF"/>
            </w:tcBorders>
            <w:vAlign w:val="bottom"/>
          </w:tcPr>
          <w:p w14:paraId="308921DD"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17,14 €</w:t>
            </w:r>
          </w:p>
        </w:tc>
        <w:tc>
          <w:tcPr>
            <w:tcW w:w="1985" w:type="dxa"/>
            <w:tcBorders>
              <w:top w:val="single" w:sz="4" w:space="0" w:color="FFFFFF"/>
              <w:left w:val="single" w:sz="4" w:space="0" w:color="FFFFFF"/>
              <w:bottom w:val="single" w:sz="4" w:space="0" w:color="FFFFFF"/>
              <w:right w:val="single" w:sz="4" w:space="0" w:color="FFFFFF"/>
            </w:tcBorders>
            <w:vAlign w:val="bottom"/>
          </w:tcPr>
          <w:p w14:paraId="17E4EC23"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9C0006"/>
                <w:sz w:val="22"/>
                <w:szCs w:val="22"/>
              </w:rPr>
            </w:pPr>
            <w:r>
              <w:rPr>
                <w:rFonts w:ascii="Open Sans" w:eastAsia="Open Sans" w:hAnsi="Open Sans" w:cs="Open Sans"/>
                <w:color w:val="9C0006"/>
                <w:sz w:val="22"/>
                <w:szCs w:val="22"/>
              </w:rPr>
              <w:t>-11,5%</w:t>
            </w:r>
          </w:p>
        </w:tc>
        <w:tc>
          <w:tcPr>
            <w:tcW w:w="1963" w:type="dxa"/>
            <w:tcBorders>
              <w:top w:val="single" w:sz="4" w:space="0" w:color="FFFFFF"/>
              <w:left w:val="single" w:sz="4" w:space="0" w:color="FFFFFF"/>
              <w:bottom w:val="single" w:sz="4" w:space="0" w:color="FFFFFF"/>
              <w:right w:val="single" w:sz="4" w:space="0" w:color="FFFFFF"/>
            </w:tcBorders>
            <w:vAlign w:val="bottom"/>
          </w:tcPr>
          <w:p w14:paraId="4443ADD1"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9C0006"/>
                <w:sz w:val="22"/>
                <w:szCs w:val="22"/>
              </w:rPr>
            </w:pPr>
            <w:r>
              <w:rPr>
                <w:rFonts w:ascii="Open Sans" w:eastAsia="Open Sans" w:hAnsi="Open Sans" w:cs="Open Sans"/>
                <w:b/>
                <w:bCs/>
                <w:color w:val="9C0006"/>
                <w:sz w:val="22"/>
                <w:szCs w:val="22"/>
              </w:rPr>
              <w:t>-9,7%</w:t>
            </w:r>
          </w:p>
        </w:tc>
      </w:tr>
      <w:tr w:rsidR="000569D1" w14:paraId="78041A55" w14:textId="77777777" w:rsidTr="000569D1">
        <w:trPr>
          <w:trHeight w:val="175"/>
        </w:trPr>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FFFFFF"/>
              <w:bottom w:val="single" w:sz="4" w:space="0" w:color="FFFFFF"/>
              <w:right w:val="single" w:sz="4" w:space="0" w:color="FFFFFF"/>
            </w:tcBorders>
            <w:vAlign w:val="bottom"/>
          </w:tcPr>
          <w:p w14:paraId="2AC16CE5"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Arganzuela</w:t>
            </w:r>
          </w:p>
        </w:tc>
        <w:tc>
          <w:tcPr>
            <w:tcW w:w="2268" w:type="dxa"/>
            <w:tcBorders>
              <w:top w:val="single" w:sz="4" w:space="0" w:color="FFFFFF"/>
              <w:left w:val="single" w:sz="4" w:space="0" w:color="FFFFFF"/>
              <w:bottom w:val="single" w:sz="4" w:space="0" w:color="FFFFFF"/>
              <w:right w:val="single" w:sz="4" w:space="0" w:color="FFFFFF"/>
            </w:tcBorders>
            <w:vAlign w:val="bottom"/>
          </w:tcPr>
          <w:p w14:paraId="597B598B"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20,71 €</w:t>
            </w:r>
          </w:p>
        </w:tc>
        <w:tc>
          <w:tcPr>
            <w:tcW w:w="1985" w:type="dxa"/>
            <w:tcBorders>
              <w:top w:val="single" w:sz="4" w:space="0" w:color="FFFFFF"/>
              <w:left w:val="single" w:sz="4" w:space="0" w:color="FFFFFF"/>
              <w:bottom w:val="single" w:sz="4" w:space="0" w:color="FFFFFF"/>
              <w:right w:val="single" w:sz="4" w:space="0" w:color="FFFFFF"/>
            </w:tcBorders>
            <w:vAlign w:val="bottom"/>
          </w:tcPr>
          <w:p w14:paraId="6C2706DB"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9C0006"/>
                <w:sz w:val="22"/>
                <w:szCs w:val="22"/>
              </w:rPr>
            </w:pPr>
            <w:r>
              <w:rPr>
                <w:rFonts w:ascii="Open Sans" w:eastAsia="Open Sans" w:hAnsi="Open Sans" w:cs="Open Sans"/>
                <w:color w:val="9C0006"/>
                <w:sz w:val="22"/>
                <w:szCs w:val="22"/>
              </w:rPr>
              <w:t>-9,8%</w:t>
            </w:r>
          </w:p>
        </w:tc>
        <w:tc>
          <w:tcPr>
            <w:tcW w:w="1963" w:type="dxa"/>
            <w:tcBorders>
              <w:top w:val="single" w:sz="4" w:space="0" w:color="FFFFFF"/>
              <w:left w:val="single" w:sz="4" w:space="0" w:color="FFFFFF"/>
              <w:bottom w:val="single" w:sz="4" w:space="0" w:color="FFFFFF"/>
              <w:right w:val="single" w:sz="4" w:space="0" w:color="FFFFFF"/>
            </w:tcBorders>
            <w:vAlign w:val="bottom"/>
          </w:tcPr>
          <w:p w14:paraId="303EE5D6"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9C0006"/>
                <w:sz w:val="22"/>
                <w:szCs w:val="22"/>
              </w:rPr>
            </w:pPr>
            <w:r>
              <w:rPr>
                <w:rFonts w:ascii="Open Sans" w:eastAsia="Open Sans" w:hAnsi="Open Sans" w:cs="Open Sans"/>
                <w:b/>
                <w:bCs/>
                <w:color w:val="9C0006"/>
                <w:sz w:val="22"/>
                <w:szCs w:val="22"/>
              </w:rPr>
              <w:t>-8,9%</w:t>
            </w:r>
          </w:p>
        </w:tc>
      </w:tr>
      <w:tr w:rsidR="000569D1" w14:paraId="4471FFC1" w14:textId="77777777" w:rsidTr="000569D1">
        <w:trPr>
          <w:cnfStyle w:val="000000100000" w:firstRow="0" w:lastRow="0" w:firstColumn="0" w:lastColumn="0" w:oddVBand="0" w:evenVBand="0" w:oddHBand="1" w:evenHBand="0" w:firstRowFirstColumn="0" w:firstRowLastColumn="0" w:lastRowFirstColumn="0" w:lastRowLastColumn="0"/>
          <w:trHeight w:val="175"/>
        </w:trPr>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FFFFFF"/>
              <w:bottom w:val="single" w:sz="4" w:space="0" w:color="FFFFFF"/>
              <w:right w:val="single" w:sz="4" w:space="0" w:color="FFFFFF"/>
            </w:tcBorders>
            <w:vAlign w:val="bottom"/>
          </w:tcPr>
          <w:p w14:paraId="507315AE"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Usera</w:t>
            </w:r>
          </w:p>
        </w:tc>
        <w:tc>
          <w:tcPr>
            <w:tcW w:w="2268" w:type="dxa"/>
            <w:tcBorders>
              <w:top w:val="single" w:sz="4" w:space="0" w:color="FFFFFF"/>
              <w:left w:val="single" w:sz="4" w:space="0" w:color="FFFFFF"/>
              <w:bottom w:val="single" w:sz="4" w:space="0" w:color="FFFFFF"/>
              <w:right w:val="single" w:sz="4" w:space="0" w:color="FFFFFF"/>
            </w:tcBorders>
            <w:vAlign w:val="bottom"/>
          </w:tcPr>
          <w:p w14:paraId="6A139624"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18,56 €</w:t>
            </w:r>
          </w:p>
        </w:tc>
        <w:tc>
          <w:tcPr>
            <w:tcW w:w="1985" w:type="dxa"/>
            <w:tcBorders>
              <w:top w:val="single" w:sz="4" w:space="0" w:color="FFFFFF"/>
              <w:left w:val="single" w:sz="4" w:space="0" w:color="FFFFFF"/>
              <w:bottom w:val="single" w:sz="4" w:space="0" w:color="FFFFFF"/>
              <w:right w:val="single" w:sz="4" w:space="0" w:color="FFFFFF"/>
            </w:tcBorders>
            <w:vAlign w:val="bottom"/>
          </w:tcPr>
          <w:p w14:paraId="0C73CC6E"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9C0006"/>
                <w:sz w:val="22"/>
                <w:szCs w:val="22"/>
              </w:rPr>
            </w:pPr>
            <w:r>
              <w:rPr>
                <w:rFonts w:ascii="Open Sans" w:eastAsia="Open Sans" w:hAnsi="Open Sans" w:cs="Open Sans"/>
                <w:color w:val="9C0006"/>
                <w:sz w:val="22"/>
                <w:szCs w:val="22"/>
              </w:rPr>
              <w:t>-8,4%</w:t>
            </w:r>
          </w:p>
        </w:tc>
        <w:tc>
          <w:tcPr>
            <w:tcW w:w="1963" w:type="dxa"/>
            <w:tcBorders>
              <w:top w:val="single" w:sz="4" w:space="0" w:color="FFFFFF"/>
              <w:left w:val="single" w:sz="4" w:space="0" w:color="FFFFFF"/>
              <w:bottom w:val="single" w:sz="4" w:space="0" w:color="FFFFFF"/>
              <w:right w:val="single" w:sz="4" w:space="0" w:color="FFFFFF"/>
            </w:tcBorders>
            <w:vAlign w:val="bottom"/>
          </w:tcPr>
          <w:p w14:paraId="51765A46"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9C0006"/>
                <w:sz w:val="22"/>
                <w:szCs w:val="22"/>
              </w:rPr>
            </w:pPr>
            <w:r>
              <w:rPr>
                <w:rFonts w:ascii="Open Sans" w:eastAsia="Open Sans" w:hAnsi="Open Sans" w:cs="Open Sans"/>
                <w:b/>
                <w:bCs/>
                <w:color w:val="9C0006"/>
                <w:sz w:val="22"/>
                <w:szCs w:val="22"/>
              </w:rPr>
              <w:t>-7,7%</w:t>
            </w:r>
          </w:p>
        </w:tc>
      </w:tr>
      <w:tr w:rsidR="000569D1" w14:paraId="60E804C4" w14:textId="77777777" w:rsidTr="000569D1">
        <w:trPr>
          <w:trHeight w:val="175"/>
        </w:trPr>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FFFFFF"/>
              <w:bottom w:val="single" w:sz="4" w:space="0" w:color="FFFFFF"/>
              <w:right w:val="single" w:sz="4" w:space="0" w:color="FFFFFF"/>
            </w:tcBorders>
            <w:vAlign w:val="bottom"/>
          </w:tcPr>
          <w:p w14:paraId="646D5E29"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Hortaleza</w:t>
            </w:r>
          </w:p>
        </w:tc>
        <w:tc>
          <w:tcPr>
            <w:tcW w:w="2268" w:type="dxa"/>
            <w:tcBorders>
              <w:top w:val="single" w:sz="4" w:space="0" w:color="FFFFFF"/>
              <w:left w:val="single" w:sz="4" w:space="0" w:color="FFFFFF"/>
              <w:bottom w:val="single" w:sz="4" w:space="0" w:color="FFFFFF"/>
              <w:right w:val="single" w:sz="4" w:space="0" w:color="FFFFFF"/>
            </w:tcBorders>
            <w:vAlign w:val="bottom"/>
          </w:tcPr>
          <w:p w14:paraId="52C23CEF"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18,72 €</w:t>
            </w:r>
          </w:p>
        </w:tc>
        <w:tc>
          <w:tcPr>
            <w:tcW w:w="1985" w:type="dxa"/>
            <w:tcBorders>
              <w:top w:val="single" w:sz="4" w:space="0" w:color="FFFFFF"/>
              <w:left w:val="single" w:sz="4" w:space="0" w:color="FFFFFF"/>
              <w:bottom w:val="single" w:sz="4" w:space="0" w:color="FFFFFF"/>
              <w:right w:val="single" w:sz="4" w:space="0" w:color="FFFFFF"/>
            </w:tcBorders>
            <w:vAlign w:val="bottom"/>
          </w:tcPr>
          <w:p w14:paraId="00A88833"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9C0006"/>
                <w:sz w:val="22"/>
                <w:szCs w:val="22"/>
              </w:rPr>
            </w:pPr>
            <w:r>
              <w:rPr>
                <w:rFonts w:ascii="Open Sans" w:eastAsia="Open Sans" w:hAnsi="Open Sans" w:cs="Open Sans"/>
                <w:color w:val="9C0006"/>
                <w:sz w:val="22"/>
                <w:szCs w:val="22"/>
              </w:rPr>
              <w:t>-12,7%</w:t>
            </w:r>
          </w:p>
        </w:tc>
        <w:tc>
          <w:tcPr>
            <w:tcW w:w="1963" w:type="dxa"/>
            <w:tcBorders>
              <w:top w:val="single" w:sz="4" w:space="0" w:color="FFFFFF"/>
              <w:left w:val="single" w:sz="4" w:space="0" w:color="FFFFFF"/>
              <w:bottom w:val="single" w:sz="4" w:space="0" w:color="FFFFFF"/>
              <w:right w:val="single" w:sz="4" w:space="0" w:color="FFFFFF"/>
            </w:tcBorders>
            <w:vAlign w:val="bottom"/>
          </w:tcPr>
          <w:p w14:paraId="5C7DCB2A"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9C0006"/>
                <w:sz w:val="22"/>
                <w:szCs w:val="22"/>
              </w:rPr>
            </w:pPr>
            <w:r>
              <w:rPr>
                <w:rFonts w:ascii="Open Sans" w:eastAsia="Open Sans" w:hAnsi="Open Sans" w:cs="Open Sans"/>
                <w:b/>
                <w:bCs/>
                <w:color w:val="9C0006"/>
                <w:sz w:val="22"/>
                <w:szCs w:val="22"/>
              </w:rPr>
              <w:t>-6,1%</w:t>
            </w:r>
          </w:p>
        </w:tc>
      </w:tr>
      <w:tr w:rsidR="000569D1" w14:paraId="05D526D1" w14:textId="77777777" w:rsidTr="000569D1">
        <w:trPr>
          <w:cnfStyle w:val="000000100000" w:firstRow="0" w:lastRow="0" w:firstColumn="0" w:lastColumn="0" w:oddVBand="0" w:evenVBand="0" w:oddHBand="1" w:evenHBand="0" w:firstRowFirstColumn="0" w:firstRowLastColumn="0" w:lastRowFirstColumn="0" w:lastRowLastColumn="0"/>
          <w:trHeight w:val="175"/>
        </w:trPr>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FFFFFF"/>
              <w:bottom w:val="single" w:sz="4" w:space="0" w:color="FFFFFF"/>
              <w:right w:val="single" w:sz="4" w:space="0" w:color="FFFFFF"/>
            </w:tcBorders>
            <w:vAlign w:val="bottom"/>
          </w:tcPr>
          <w:p w14:paraId="400BB7D5"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Moncloa - Aravaca</w:t>
            </w:r>
          </w:p>
        </w:tc>
        <w:tc>
          <w:tcPr>
            <w:tcW w:w="2268" w:type="dxa"/>
            <w:tcBorders>
              <w:top w:val="single" w:sz="4" w:space="0" w:color="FFFFFF"/>
              <w:left w:val="single" w:sz="4" w:space="0" w:color="FFFFFF"/>
              <w:bottom w:val="single" w:sz="4" w:space="0" w:color="FFFFFF"/>
              <w:right w:val="single" w:sz="4" w:space="0" w:color="FFFFFF"/>
            </w:tcBorders>
            <w:vAlign w:val="bottom"/>
          </w:tcPr>
          <w:p w14:paraId="1C983E0C"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20,07 €</w:t>
            </w:r>
          </w:p>
        </w:tc>
        <w:tc>
          <w:tcPr>
            <w:tcW w:w="1985" w:type="dxa"/>
            <w:tcBorders>
              <w:top w:val="single" w:sz="4" w:space="0" w:color="FFFFFF"/>
              <w:left w:val="single" w:sz="4" w:space="0" w:color="FFFFFF"/>
              <w:bottom w:val="single" w:sz="4" w:space="0" w:color="FFFFFF"/>
              <w:right w:val="single" w:sz="4" w:space="0" w:color="FFFFFF"/>
            </w:tcBorders>
            <w:vAlign w:val="bottom"/>
          </w:tcPr>
          <w:p w14:paraId="179119C5"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9C0006"/>
                <w:sz w:val="22"/>
                <w:szCs w:val="22"/>
              </w:rPr>
            </w:pPr>
            <w:r>
              <w:rPr>
                <w:rFonts w:ascii="Open Sans" w:eastAsia="Open Sans" w:hAnsi="Open Sans" w:cs="Open Sans"/>
                <w:color w:val="9C0006"/>
                <w:sz w:val="22"/>
                <w:szCs w:val="22"/>
              </w:rPr>
              <w:t>-9,8%</w:t>
            </w:r>
          </w:p>
        </w:tc>
        <w:tc>
          <w:tcPr>
            <w:tcW w:w="1963" w:type="dxa"/>
            <w:tcBorders>
              <w:top w:val="single" w:sz="4" w:space="0" w:color="FFFFFF"/>
              <w:left w:val="single" w:sz="4" w:space="0" w:color="FFFFFF"/>
              <w:bottom w:val="single" w:sz="4" w:space="0" w:color="FFFFFF"/>
              <w:right w:val="single" w:sz="4" w:space="0" w:color="FFFFFF"/>
            </w:tcBorders>
            <w:vAlign w:val="bottom"/>
          </w:tcPr>
          <w:p w14:paraId="34965204"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9C0006"/>
                <w:sz w:val="22"/>
                <w:szCs w:val="22"/>
              </w:rPr>
            </w:pPr>
            <w:r>
              <w:rPr>
                <w:rFonts w:ascii="Open Sans" w:eastAsia="Open Sans" w:hAnsi="Open Sans" w:cs="Open Sans"/>
                <w:b/>
                <w:bCs/>
                <w:color w:val="9C0006"/>
                <w:sz w:val="22"/>
                <w:szCs w:val="22"/>
              </w:rPr>
              <w:t>-5,4%</w:t>
            </w:r>
          </w:p>
        </w:tc>
      </w:tr>
      <w:tr w:rsidR="000569D1" w14:paraId="38EC5F82" w14:textId="77777777" w:rsidTr="000569D1">
        <w:trPr>
          <w:trHeight w:val="175"/>
        </w:trPr>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FFFFFF"/>
              <w:bottom w:val="single" w:sz="4" w:space="0" w:color="FFFFFF"/>
              <w:right w:val="single" w:sz="4" w:space="0" w:color="FFFFFF"/>
            </w:tcBorders>
            <w:vAlign w:val="bottom"/>
          </w:tcPr>
          <w:p w14:paraId="5D3EDEB7"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Ciudad Lineal</w:t>
            </w:r>
          </w:p>
        </w:tc>
        <w:tc>
          <w:tcPr>
            <w:tcW w:w="2268" w:type="dxa"/>
            <w:tcBorders>
              <w:top w:val="single" w:sz="4" w:space="0" w:color="FFFFFF"/>
              <w:left w:val="single" w:sz="4" w:space="0" w:color="FFFFFF"/>
              <w:bottom w:val="single" w:sz="4" w:space="0" w:color="FFFFFF"/>
              <w:right w:val="single" w:sz="4" w:space="0" w:color="FFFFFF"/>
            </w:tcBorders>
            <w:vAlign w:val="bottom"/>
          </w:tcPr>
          <w:p w14:paraId="4FF2F490"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20,13 €</w:t>
            </w:r>
          </w:p>
        </w:tc>
        <w:tc>
          <w:tcPr>
            <w:tcW w:w="1985" w:type="dxa"/>
            <w:tcBorders>
              <w:top w:val="single" w:sz="4" w:space="0" w:color="FFFFFF"/>
              <w:left w:val="single" w:sz="4" w:space="0" w:color="FFFFFF"/>
              <w:bottom w:val="single" w:sz="4" w:space="0" w:color="FFFFFF"/>
              <w:right w:val="single" w:sz="4" w:space="0" w:color="FFFFFF"/>
            </w:tcBorders>
            <w:vAlign w:val="bottom"/>
          </w:tcPr>
          <w:p w14:paraId="369D093C"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9C0006"/>
                <w:sz w:val="22"/>
                <w:szCs w:val="22"/>
              </w:rPr>
            </w:pPr>
            <w:r>
              <w:rPr>
                <w:rFonts w:ascii="Open Sans" w:eastAsia="Open Sans" w:hAnsi="Open Sans" w:cs="Open Sans"/>
                <w:color w:val="9C0006"/>
                <w:sz w:val="22"/>
                <w:szCs w:val="22"/>
              </w:rPr>
              <w:t>-1,5%</w:t>
            </w:r>
          </w:p>
        </w:tc>
        <w:tc>
          <w:tcPr>
            <w:tcW w:w="1963" w:type="dxa"/>
            <w:tcBorders>
              <w:top w:val="single" w:sz="4" w:space="0" w:color="FFFFFF"/>
              <w:left w:val="single" w:sz="4" w:space="0" w:color="FFFFFF"/>
              <w:bottom w:val="single" w:sz="4" w:space="0" w:color="FFFFFF"/>
              <w:right w:val="single" w:sz="4" w:space="0" w:color="FFFFFF"/>
            </w:tcBorders>
            <w:vAlign w:val="bottom"/>
          </w:tcPr>
          <w:p w14:paraId="4178233B"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sz w:val="22"/>
                <w:szCs w:val="22"/>
              </w:rPr>
            </w:pPr>
            <w:r>
              <w:rPr>
                <w:rFonts w:ascii="Open Sans" w:eastAsia="Open Sans" w:hAnsi="Open Sans" w:cs="Open Sans"/>
                <w:b/>
                <w:bCs/>
                <w:color w:val="9C0006"/>
                <w:sz w:val="22"/>
                <w:szCs w:val="22"/>
              </w:rPr>
              <w:t>-2,7%</w:t>
            </w:r>
          </w:p>
        </w:tc>
      </w:tr>
      <w:tr w:rsidR="000569D1" w14:paraId="3BA351C2" w14:textId="77777777" w:rsidTr="000569D1">
        <w:trPr>
          <w:cnfStyle w:val="000000100000" w:firstRow="0" w:lastRow="0" w:firstColumn="0" w:lastColumn="0" w:oddVBand="0" w:evenVBand="0" w:oddHBand="1" w:evenHBand="0" w:firstRowFirstColumn="0" w:firstRowLastColumn="0" w:lastRowFirstColumn="0" w:lastRowLastColumn="0"/>
          <w:trHeight w:val="175"/>
        </w:trPr>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FFFFFF"/>
              <w:bottom w:val="single" w:sz="4" w:space="0" w:color="FFFFFF"/>
              <w:right w:val="single" w:sz="4" w:space="0" w:color="FFFFFF"/>
            </w:tcBorders>
            <w:vAlign w:val="bottom"/>
          </w:tcPr>
          <w:p w14:paraId="5F18C63B"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Carabanchel</w:t>
            </w:r>
          </w:p>
        </w:tc>
        <w:tc>
          <w:tcPr>
            <w:tcW w:w="2268" w:type="dxa"/>
            <w:tcBorders>
              <w:top w:val="single" w:sz="4" w:space="0" w:color="FFFFFF"/>
              <w:left w:val="single" w:sz="4" w:space="0" w:color="FFFFFF"/>
              <w:bottom w:val="single" w:sz="4" w:space="0" w:color="FFFFFF"/>
              <w:right w:val="single" w:sz="4" w:space="0" w:color="FFFFFF"/>
            </w:tcBorders>
            <w:vAlign w:val="bottom"/>
          </w:tcPr>
          <w:p w14:paraId="5479B4A0"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19,04 €</w:t>
            </w:r>
          </w:p>
        </w:tc>
        <w:tc>
          <w:tcPr>
            <w:tcW w:w="1985" w:type="dxa"/>
            <w:tcBorders>
              <w:top w:val="single" w:sz="4" w:space="0" w:color="FFFFFF"/>
              <w:left w:val="single" w:sz="4" w:space="0" w:color="FFFFFF"/>
              <w:bottom w:val="single" w:sz="4" w:space="0" w:color="FFFFFF"/>
              <w:right w:val="single" w:sz="4" w:space="0" w:color="FFFFFF"/>
            </w:tcBorders>
            <w:vAlign w:val="bottom"/>
          </w:tcPr>
          <w:p w14:paraId="5C134D3E"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9C0006"/>
                <w:sz w:val="22"/>
                <w:szCs w:val="22"/>
              </w:rPr>
              <w:t>-11,3%</w:t>
            </w:r>
          </w:p>
        </w:tc>
        <w:tc>
          <w:tcPr>
            <w:tcW w:w="1963" w:type="dxa"/>
            <w:tcBorders>
              <w:top w:val="single" w:sz="4" w:space="0" w:color="FFFFFF"/>
              <w:left w:val="single" w:sz="4" w:space="0" w:color="FFFFFF"/>
              <w:bottom w:val="single" w:sz="4" w:space="0" w:color="FFFFFF"/>
              <w:right w:val="single" w:sz="4" w:space="0" w:color="FFFFFF"/>
            </w:tcBorders>
            <w:vAlign w:val="bottom"/>
          </w:tcPr>
          <w:p w14:paraId="6B872BAC"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sz w:val="22"/>
                <w:szCs w:val="22"/>
              </w:rPr>
            </w:pPr>
            <w:r>
              <w:rPr>
                <w:rFonts w:ascii="Open Sans" w:eastAsia="Open Sans" w:hAnsi="Open Sans" w:cs="Open Sans"/>
                <w:b/>
                <w:bCs/>
                <w:color w:val="9C0006"/>
                <w:sz w:val="22"/>
                <w:szCs w:val="22"/>
              </w:rPr>
              <w:t>-0,1%</w:t>
            </w:r>
          </w:p>
        </w:tc>
      </w:tr>
      <w:tr w:rsidR="000569D1" w14:paraId="2C4DAB33" w14:textId="77777777" w:rsidTr="000569D1">
        <w:trPr>
          <w:trHeight w:val="175"/>
        </w:trPr>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FFFFFF"/>
              <w:bottom w:val="single" w:sz="4" w:space="0" w:color="FFFFFF"/>
              <w:right w:val="single" w:sz="4" w:space="0" w:color="FFFFFF"/>
            </w:tcBorders>
            <w:vAlign w:val="bottom"/>
          </w:tcPr>
          <w:p w14:paraId="03844517"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San Blas</w:t>
            </w:r>
          </w:p>
        </w:tc>
        <w:tc>
          <w:tcPr>
            <w:tcW w:w="2268" w:type="dxa"/>
            <w:tcBorders>
              <w:top w:val="single" w:sz="4" w:space="0" w:color="FFFFFF"/>
              <w:left w:val="single" w:sz="4" w:space="0" w:color="FFFFFF"/>
              <w:bottom w:val="single" w:sz="4" w:space="0" w:color="FFFFFF"/>
              <w:right w:val="single" w:sz="4" w:space="0" w:color="FFFFFF"/>
            </w:tcBorders>
            <w:vAlign w:val="bottom"/>
          </w:tcPr>
          <w:p w14:paraId="045B2D05"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18,22 €</w:t>
            </w:r>
          </w:p>
        </w:tc>
        <w:tc>
          <w:tcPr>
            <w:tcW w:w="1985" w:type="dxa"/>
            <w:tcBorders>
              <w:top w:val="single" w:sz="4" w:space="0" w:color="FFFFFF"/>
              <w:left w:val="single" w:sz="4" w:space="0" w:color="FFFFFF"/>
              <w:bottom w:val="single" w:sz="4" w:space="0" w:color="FFFFFF"/>
              <w:right w:val="single" w:sz="4" w:space="0" w:color="FFFFFF"/>
            </w:tcBorders>
            <w:vAlign w:val="bottom"/>
          </w:tcPr>
          <w:p w14:paraId="38DACBFE"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9C0006"/>
                <w:sz w:val="22"/>
                <w:szCs w:val="22"/>
              </w:rPr>
            </w:pPr>
            <w:r>
              <w:rPr>
                <w:rFonts w:ascii="Open Sans" w:eastAsia="Open Sans" w:hAnsi="Open Sans" w:cs="Open Sans"/>
                <w:color w:val="9C0006"/>
                <w:sz w:val="22"/>
                <w:szCs w:val="22"/>
              </w:rPr>
              <w:t>-0,9%</w:t>
            </w:r>
          </w:p>
        </w:tc>
        <w:tc>
          <w:tcPr>
            <w:tcW w:w="1963" w:type="dxa"/>
            <w:tcBorders>
              <w:top w:val="single" w:sz="4" w:space="0" w:color="FFFFFF"/>
              <w:left w:val="single" w:sz="4" w:space="0" w:color="FFFFFF"/>
              <w:bottom w:val="single" w:sz="4" w:space="0" w:color="FFFFFF"/>
              <w:right w:val="single" w:sz="4" w:space="0" w:color="FFFFFF"/>
            </w:tcBorders>
            <w:vAlign w:val="bottom"/>
          </w:tcPr>
          <w:p w14:paraId="3CD0AB70"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sz w:val="22"/>
                <w:szCs w:val="22"/>
              </w:rPr>
            </w:pPr>
            <w:r>
              <w:rPr>
                <w:rFonts w:ascii="Open Sans" w:eastAsia="Open Sans" w:hAnsi="Open Sans" w:cs="Open Sans"/>
                <w:b/>
                <w:bCs/>
                <w:color w:val="000000"/>
                <w:sz w:val="22"/>
                <w:szCs w:val="22"/>
              </w:rPr>
              <w:t>1,2%</w:t>
            </w:r>
          </w:p>
        </w:tc>
      </w:tr>
      <w:tr w:rsidR="000569D1" w14:paraId="052F60F2" w14:textId="77777777" w:rsidTr="000569D1">
        <w:trPr>
          <w:cnfStyle w:val="000000100000" w:firstRow="0" w:lastRow="0" w:firstColumn="0" w:lastColumn="0" w:oddVBand="0" w:evenVBand="0" w:oddHBand="1" w:evenHBand="0" w:firstRowFirstColumn="0" w:firstRowLastColumn="0" w:lastRowFirstColumn="0" w:lastRowLastColumn="0"/>
          <w:trHeight w:val="175"/>
        </w:trPr>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FFFFFF"/>
              <w:bottom w:val="single" w:sz="4" w:space="0" w:color="FFFFFF"/>
              <w:right w:val="single" w:sz="4" w:space="0" w:color="FFFFFF"/>
            </w:tcBorders>
            <w:vAlign w:val="bottom"/>
          </w:tcPr>
          <w:p w14:paraId="3AAD9041"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Vicálvaro</w:t>
            </w:r>
          </w:p>
        </w:tc>
        <w:tc>
          <w:tcPr>
            <w:tcW w:w="2268" w:type="dxa"/>
            <w:tcBorders>
              <w:top w:val="single" w:sz="4" w:space="0" w:color="FFFFFF"/>
              <w:left w:val="single" w:sz="4" w:space="0" w:color="FFFFFF"/>
              <w:bottom w:val="single" w:sz="4" w:space="0" w:color="FFFFFF"/>
              <w:right w:val="single" w:sz="4" w:space="0" w:color="FFFFFF"/>
            </w:tcBorders>
            <w:vAlign w:val="bottom"/>
          </w:tcPr>
          <w:p w14:paraId="2F83E774"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18,87 €</w:t>
            </w:r>
          </w:p>
        </w:tc>
        <w:tc>
          <w:tcPr>
            <w:tcW w:w="1985" w:type="dxa"/>
            <w:tcBorders>
              <w:top w:val="single" w:sz="4" w:space="0" w:color="FFFFFF"/>
              <w:left w:val="single" w:sz="4" w:space="0" w:color="FFFFFF"/>
              <w:bottom w:val="single" w:sz="4" w:space="0" w:color="FFFFFF"/>
              <w:right w:val="single" w:sz="4" w:space="0" w:color="FFFFFF"/>
            </w:tcBorders>
            <w:vAlign w:val="bottom"/>
          </w:tcPr>
          <w:p w14:paraId="72531ECF"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9C0006"/>
                <w:sz w:val="22"/>
                <w:szCs w:val="22"/>
              </w:rPr>
              <w:t>-0,1%</w:t>
            </w:r>
          </w:p>
        </w:tc>
        <w:tc>
          <w:tcPr>
            <w:tcW w:w="1963" w:type="dxa"/>
            <w:tcBorders>
              <w:top w:val="single" w:sz="4" w:space="0" w:color="FFFFFF"/>
              <w:left w:val="single" w:sz="4" w:space="0" w:color="FFFFFF"/>
              <w:bottom w:val="single" w:sz="4" w:space="0" w:color="FFFFFF"/>
              <w:right w:val="single" w:sz="4" w:space="0" w:color="FFFFFF"/>
            </w:tcBorders>
            <w:vAlign w:val="bottom"/>
          </w:tcPr>
          <w:p w14:paraId="79D1EAF3"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sz w:val="22"/>
                <w:szCs w:val="22"/>
              </w:rPr>
            </w:pPr>
            <w:r>
              <w:rPr>
                <w:rFonts w:ascii="Open Sans" w:eastAsia="Open Sans" w:hAnsi="Open Sans" w:cs="Open Sans"/>
                <w:b/>
                <w:bCs/>
                <w:color w:val="000000"/>
                <w:sz w:val="22"/>
                <w:szCs w:val="22"/>
              </w:rPr>
              <w:t>3,1%</w:t>
            </w:r>
          </w:p>
        </w:tc>
      </w:tr>
      <w:tr w:rsidR="000569D1" w14:paraId="6DA72E85" w14:textId="77777777" w:rsidTr="000569D1">
        <w:trPr>
          <w:trHeight w:val="175"/>
        </w:trPr>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FFFFFF"/>
              <w:bottom w:val="single" w:sz="4" w:space="0" w:color="FFFFFF"/>
              <w:right w:val="single" w:sz="4" w:space="0" w:color="FFFFFF"/>
            </w:tcBorders>
            <w:vAlign w:val="bottom"/>
          </w:tcPr>
          <w:p w14:paraId="05A6D05A"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Barajas</w:t>
            </w:r>
          </w:p>
        </w:tc>
        <w:tc>
          <w:tcPr>
            <w:tcW w:w="2268" w:type="dxa"/>
            <w:tcBorders>
              <w:top w:val="single" w:sz="4" w:space="0" w:color="FFFFFF"/>
              <w:left w:val="single" w:sz="4" w:space="0" w:color="FFFFFF"/>
              <w:bottom w:val="single" w:sz="4" w:space="0" w:color="FFFFFF"/>
              <w:right w:val="single" w:sz="4" w:space="0" w:color="FFFFFF"/>
            </w:tcBorders>
            <w:vAlign w:val="bottom"/>
          </w:tcPr>
          <w:p w14:paraId="6B93B527"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20,25 €</w:t>
            </w:r>
          </w:p>
        </w:tc>
        <w:tc>
          <w:tcPr>
            <w:tcW w:w="1985" w:type="dxa"/>
            <w:tcBorders>
              <w:top w:val="single" w:sz="4" w:space="0" w:color="FFFFFF"/>
              <w:left w:val="single" w:sz="4" w:space="0" w:color="FFFFFF"/>
              <w:bottom w:val="single" w:sz="4" w:space="0" w:color="FFFFFF"/>
              <w:right w:val="single" w:sz="4" w:space="0" w:color="FFFFFF"/>
            </w:tcBorders>
            <w:vAlign w:val="bottom"/>
          </w:tcPr>
          <w:p w14:paraId="1C999CAB"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9C0006"/>
                <w:sz w:val="22"/>
                <w:szCs w:val="22"/>
              </w:rPr>
            </w:pPr>
            <w:r>
              <w:rPr>
                <w:rFonts w:ascii="Open Sans" w:eastAsia="Open Sans" w:hAnsi="Open Sans" w:cs="Open Sans"/>
                <w:color w:val="9C0006"/>
                <w:sz w:val="22"/>
                <w:szCs w:val="22"/>
              </w:rPr>
              <w:t>-1,5%</w:t>
            </w:r>
          </w:p>
        </w:tc>
        <w:tc>
          <w:tcPr>
            <w:tcW w:w="1963" w:type="dxa"/>
            <w:tcBorders>
              <w:top w:val="single" w:sz="4" w:space="0" w:color="FFFFFF"/>
              <w:left w:val="single" w:sz="4" w:space="0" w:color="FFFFFF"/>
              <w:bottom w:val="single" w:sz="4" w:space="0" w:color="FFFFFF"/>
              <w:right w:val="single" w:sz="4" w:space="0" w:color="FFFFFF"/>
            </w:tcBorders>
            <w:vAlign w:val="bottom"/>
          </w:tcPr>
          <w:p w14:paraId="4C1C1D91"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9C0006"/>
                <w:sz w:val="22"/>
                <w:szCs w:val="22"/>
              </w:rPr>
            </w:pPr>
            <w:r>
              <w:rPr>
                <w:rFonts w:ascii="Open Sans" w:eastAsia="Open Sans" w:hAnsi="Open Sans" w:cs="Open Sans"/>
                <w:b/>
                <w:bCs/>
                <w:color w:val="000000"/>
                <w:sz w:val="22"/>
                <w:szCs w:val="22"/>
              </w:rPr>
              <w:t>15,2%</w:t>
            </w:r>
          </w:p>
        </w:tc>
      </w:tr>
      <w:tr w:rsidR="000569D1" w14:paraId="6470DC3F" w14:textId="77777777" w:rsidTr="000569D1">
        <w:trPr>
          <w:cnfStyle w:val="000000100000" w:firstRow="0" w:lastRow="0" w:firstColumn="0" w:lastColumn="0" w:oddVBand="0" w:evenVBand="0" w:oddHBand="1" w:evenHBand="0" w:firstRowFirstColumn="0" w:firstRowLastColumn="0" w:lastRowFirstColumn="0" w:lastRowLastColumn="0"/>
          <w:trHeight w:val="175"/>
        </w:trPr>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FFFFFF"/>
              <w:right w:val="single" w:sz="4" w:space="0" w:color="FFFFFF"/>
            </w:tcBorders>
            <w:vAlign w:val="bottom"/>
          </w:tcPr>
          <w:p w14:paraId="41B0A545"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Moratalaz</w:t>
            </w:r>
          </w:p>
        </w:tc>
        <w:tc>
          <w:tcPr>
            <w:tcW w:w="2268" w:type="dxa"/>
            <w:tcBorders>
              <w:top w:val="single" w:sz="4" w:space="0" w:color="FFFFFF"/>
              <w:left w:val="single" w:sz="4" w:space="0" w:color="FFFFFF"/>
              <w:bottom w:val="single" w:sz="4" w:space="0" w:color="FFFFFF"/>
              <w:right w:val="single" w:sz="4" w:space="0" w:color="FFFFFF"/>
            </w:tcBorders>
            <w:vAlign w:val="bottom"/>
          </w:tcPr>
          <w:p w14:paraId="30C112C5"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18,36 €</w:t>
            </w:r>
          </w:p>
        </w:tc>
        <w:tc>
          <w:tcPr>
            <w:tcW w:w="1985" w:type="dxa"/>
            <w:tcBorders>
              <w:top w:val="single" w:sz="4" w:space="0" w:color="FFFFFF"/>
              <w:left w:val="single" w:sz="4" w:space="0" w:color="FFFFFF"/>
              <w:bottom w:val="single" w:sz="4" w:space="0" w:color="FFFFFF"/>
              <w:right w:val="single" w:sz="4" w:space="0" w:color="FFFFFF"/>
            </w:tcBorders>
            <w:vAlign w:val="bottom"/>
          </w:tcPr>
          <w:p w14:paraId="79F9ED13"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9C0006"/>
                <w:sz w:val="22"/>
                <w:szCs w:val="22"/>
              </w:rPr>
            </w:pPr>
            <w:r>
              <w:rPr>
                <w:rFonts w:ascii="Open Sans" w:eastAsia="Open Sans" w:hAnsi="Open Sans" w:cs="Open Sans"/>
                <w:color w:val="000000"/>
                <w:sz w:val="22"/>
                <w:szCs w:val="22"/>
              </w:rPr>
              <w:t>1,0%</w:t>
            </w:r>
          </w:p>
        </w:tc>
        <w:tc>
          <w:tcPr>
            <w:tcW w:w="1963" w:type="dxa"/>
            <w:tcBorders>
              <w:top w:val="single" w:sz="4" w:space="0" w:color="FFFFFF"/>
              <w:left w:val="single" w:sz="4" w:space="0" w:color="FFFFFF"/>
              <w:bottom w:val="single" w:sz="4" w:space="0" w:color="FFFFFF"/>
              <w:right w:val="single" w:sz="4" w:space="0" w:color="FFFFFF"/>
            </w:tcBorders>
            <w:vAlign w:val="bottom"/>
          </w:tcPr>
          <w:p w14:paraId="0408E61F" w14:textId="77777777" w:rsidR="000569D1" w:rsidRDefault="000569D1">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9C0006"/>
                <w:sz w:val="22"/>
                <w:szCs w:val="22"/>
              </w:rPr>
            </w:pPr>
          </w:p>
        </w:tc>
      </w:tr>
    </w:tbl>
    <w:p w14:paraId="58BE4470" w14:textId="77777777" w:rsidR="000569D1" w:rsidRDefault="000569D1">
      <w:pPr>
        <w:spacing w:line="276" w:lineRule="auto"/>
        <w:ind w:right="-567"/>
        <w:rPr>
          <w:rFonts w:ascii="Open Sans Light" w:eastAsia="Open Sans Light" w:hAnsi="Open Sans Light" w:cs="Open Sans Light"/>
          <w:b/>
          <w:bCs/>
          <w:color w:val="303AB2"/>
          <w:sz w:val="28"/>
          <w:szCs w:val="28"/>
        </w:rPr>
      </w:pPr>
    </w:p>
    <w:p w14:paraId="61C3CC95" w14:textId="77777777" w:rsidR="006B0804" w:rsidRDefault="006B0804">
      <w:pPr>
        <w:spacing w:line="276" w:lineRule="auto"/>
        <w:ind w:right="-567"/>
        <w:rPr>
          <w:rFonts w:ascii="Open Sans Light" w:eastAsia="Open Sans Light" w:hAnsi="Open Sans Light" w:cs="Open Sans Light"/>
          <w:b/>
          <w:bCs/>
          <w:color w:val="303AB2"/>
          <w:sz w:val="28"/>
          <w:szCs w:val="28"/>
        </w:rPr>
      </w:pPr>
    </w:p>
    <w:p w14:paraId="370F3D76" w14:textId="77777777" w:rsidR="006B0804" w:rsidRDefault="006B0804">
      <w:pPr>
        <w:spacing w:line="276" w:lineRule="auto"/>
        <w:ind w:right="-567"/>
        <w:rPr>
          <w:rFonts w:ascii="Open Sans Light" w:eastAsia="Open Sans Light" w:hAnsi="Open Sans Light" w:cs="Open Sans Light"/>
          <w:b/>
          <w:bCs/>
          <w:color w:val="303AB2"/>
          <w:sz w:val="28"/>
          <w:szCs w:val="28"/>
        </w:rPr>
      </w:pPr>
    </w:p>
    <w:p w14:paraId="16545794" w14:textId="2F8C5E6D" w:rsidR="000569D1" w:rsidRDefault="00000000">
      <w:pPr>
        <w:spacing w:line="276" w:lineRule="auto"/>
        <w:ind w:right="-567"/>
        <w:rPr>
          <w:rFonts w:ascii="Open Sans Light" w:eastAsia="Open Sans Light" w:hAnsi="Open Sans Light" w:cs="Open Sans Light"/>
          <w:b/>
          <w:bCs/>
          <w:color w:val="303AB2"/>
          <w:sz w:val="28"/>
          <w:szCs w:val="28"/>
        </w:rPr>
      </w:pPr>
      <w:r>
        <w:rPr>
          <w:rFonts w:ascii="Open Sans Light" w:eastAsia="Open Sans Light" w:hAnsi="Open Sans Light" w:cs="Open Sans Light"/>
          <w:b/>
          <w:bCs/>
          <w:color w:val="303AB2"/>
          <w:sz w:val="28"/>
          <w:szCs w:val="28"/>
        </w:rPr>
        <w:lastRenderedPageBreak/>
        <w:t xml:space="preserve">Distritos de Barcelona </w:t>
      </w:r>
    </w:p>
    <w:p w14:paraId="3CB088E8" w14:textId="77777777" w:rsidR="000569D1" w:rsidRDefault="000569D1">
      <w:pPr>
        <w:spacing w:line="276" w:lineRule="auto"/>
        <w:ind w:right="-567"/>
        <w:jc w:val="both"/>
        <w:rPr>
          <w:rFonts w:ascii="Open Sans" w:eastAsia="Open Sans" w:hAnsi="Open Sans" w:cs="Open Sans"/>
          <w:color w:val="000000"/>
        </w:rPr>
      </w:pPr>
    </w:p>
    <w:p w14:paraId="5B80F256" w14:textId="5EB5A4BE" w:rsidR="000569D1" w:rsidRDefault="00000000">
      <w:pPr>
        <w:spacing w:line="276" w:lineRule="auto"/>
        <w:ind w:right="-567"/>
        <w:jc w:val="both"/>
        <w:rPr>
          <w:rFonts w:ascii="Open Sans" w:eastAsia="Open Sans" w:hAnsi="Open Sans" w:cs="Open Sans"/>
          <w:color w:val="000000"/>
        </w:rPr>
      </w:pPr>
      <w:r>
        <w:rPr>
          <w:rFonts w:ascii="Open Sans" w:eastAsia="Open Sans" w:hAnsi="Open Sans" w:cs="Open Sans"/>
          <w:color w:val="000000"/>
        </w:rPr>
        <w:t>El precio del alquiler cae en julio en los diez distritos con variación interanual. Los distritos con descensos interanuales son: Sarrià - Sant Gervasi (-33,0%), Gràcia (-31,6%), Eixample (-25,8%), Nou Barris (-23,1%), Sant Andreu (-20,5%), Ciutat Vella (-19,3%), Sants - Montjuïc (-17,7%), Sant Martí (-6,3%), Les Corts (-6,3%) y Horta - Guinardó (-6,0%).</w:t>
      </w:r>
    </w:p>
    <w:p w14:paraId="7CDDC712" w14:textId="77777777" w:rsidR="000569D1" w:rsidRDefault="000569D1">
      <w:pPr>
        <w:spacing w:line="276" w:lineRule="auto"/>
        <w:ind w:right="-567"/>
        <w:jc w:val="both"/>
        <w:rPr>
          <w:rFonts w:ascii="Open Sans" w:eastAsia="Open Sans" w:hAnsi="Open Sans" w:cs="Open Sans"/>
          <w:color w:val="000000"/>
        </w:rPr>
      </w:pPr>
    </w:p>
    <w:p w14:paraId="632B0B14" w14:textId="77777777" w:rsidR="000569D1" w:rsidRDefault="00000000">
      <w:pPr>
        <w:spacing w:line="276" w:lineRule="auto"/>
        <w:ind w:right="-567"/>
        <w:jc w:val="both"/>
        <w:rPr>
          <w:rFonts w:ascii="Open Sans" w:eastAsia="Open Sans" w:hAnsi="Open Sans" w:cs="Open Sans"/>
          <w:color w:val="000000"/>
        </w:rPr>
      </w:pPr>
      <w:r>
        <w:rPr>
          <w:rFonts w:ascii="Open Sans" w:eastAsia="Open Sans" w:hAnsi="Open Sans" w:cs="Open Sans"/>
          <w:color w:val="000000"/>
        </w:rPr>
        <w:t>En cuanto al precio por metro cuadrado, el orden de los distritos de mayor a menor precio es: Sant Martí con 21,85 €/m</w:t>
      </w:r>
      <w:r>
        <w:rPr>
          <w:rFonts w:ascii="Open Sans" w:eastAsia="Open Sans" w:hAnsi="Open Sans" w:cs="Open Sans"/>
          <w:color w:val="000000"/>
          <w:vertAlign w:val="superscript"/>
        </w:rPr>
        <w:t xml:space="preserve">2 </w:t>
      </w:r>
      <w:r>
        <w:rPr>
          <w:rFonts w:ascii="Open Sans" w:eastAsia="Open Sans" w:hAnsi="Open Sans" w:cs="Open Sans"/>
          <w:color w:val="000000"/>
        </w:rPr>
        <w:t>al mes, Les Corts con 21,30 €/m</w:t>
      </w:r>
      <w:r>
        <w:rPr>
          <w:rFonts w:ascii="Open Sans" w:eastAsia="Open Sans" w:hAnsi="Open Sans" w:cs="Open Sans"/>
          <w:color w:val="000000"/>
          <w:vertAlign w:val="superscript"/>
        </w:rPr>
        <w:t xml:space="preserve">2 </w:t>
      </w:r>
      <w:r>
        <w:rPr>
          <w:rFonts w:ascii="Open Sans" w:eastAsia="Open Sans" w:hAnsi="Open Sans" w:cs="Open Sans"/>
          <w:color w:val="000000"/>
        </w:rPr>
        <w:t>al mes, Horta - Guinardó con 19,43 €/m</w:t>
      </w:r>
      <w:r>
        <w:rPr>
          <w:rFonts w:ascii="Open Sans" w:eastAsia="Open Sans" w:hAnsi="Open Sans" w:cs="Open Sans"/>
          <w:color w:val="000000"/>
          <w:vertAlign w:val="superscript"/>
        </w:rPr>
        <w:t xml:space="preserve">2 </w:t>
      </w:r>
      <w:r>
        <w:rPr>
          <w:rFonts w:ascii="Open Sans" w:eastAsia="Open Sans" w:hAnsi="Open Sans" w:cs="Open Sans"/>
          <w:color w:val="000000"/>
        </w:rPr>
        <w:t>al mes, Ciutat Vella con 19,10 €/m</w:t>
      </w:r>
      <w:r>
        <w:rPr>
          <w:rFonts w:ascii="Open Sans" w:eastAsia="Open Sans" w:hAnsi="Open Sans" w:cs="Open Sans"/>
          <w:color w:val="000000"/>
          <w:vertAlign w:val="superscript"/>
        </w:rPr>
        <w:t xml:space="preserve">2 </w:t>
      </w:r>
      <w:r>
        <w:rPr>
          <w:rFonts w:ascii="Open Sans" w:eastAsia="Open Sans" w:hAnsi="Open Sans" w:cs="Open Sans"/>
          <w:color w:val="000000"/>
        </w:rPr>
        <w:t>al mes, Sants - Montjuïc con 18,97 €/m</w:t>
      </w:r>
      <w:r>
        <w:rPr>
          <w:rFonts w:ascii="Open Sans" w:eastAsia="Open Sans" w:hAnsi="Open Sans" w:cs="Open Sans"/>
          <w:color w:val="000000"/>
          <w:vertAlign w:val="superscript"/>
        </w:rPr>
        <w:t xml:space="preserve">2 </w:t>
      </w:r>
      <w:r>
        <w:rPr>
          <w:rFonts w:ascii="Open Sans" w:eastAsia="Open Sans" w:hAnsi="Open Sans" w:cs="Open Sans"/>
          <w:color w:val="000000"/>
        </w:rPr>
        <w:t>al mes, Eixample con 17,73 €/m</w:t>
      </w:r>
      <w:r>
        <w:rPr>
          <w:rFonts w:ascii="Open Sans" w:eastAsia="Open Sans" w:hAnsi="Open Sans" w:cs="Open Sans"/>
          <w:color w:val="000000"/>
          <w:vertAlign w:val="superscript"/>
        </w:rPr>
        <w:t xml:space="preserve">2 </w:t>
      </w:r>
      <w:r>
        <w:rPr>
          <w:rFonts w:ascii="Open Sans" w:eastAsia="Open Sans" w:hAnsi="Open Sans" w:cs="Open Sans"/>
          <w:color w:val="000000"/>
        </w:rPr>
        <w:t>al mes, Sant Andreu con 17,70 €/m</w:t>
      </w:r>
      <w:r>
        <w:rPr>
          <w:rFonts w:ascii="Open Sans" w:eastAsia="Open Sans" w:hAnsi="Open Sans" w:cs="Open Sans"/>
          <w:color w:val="000000"/>
          <w:vertAlign w:val="superscript"/>
        </w:rPr>
        <w:t xml:space="preserve">2 </w:t>
      </w:r>
      <w:r>
        <w:rPr>
          <w:rFonts w:ascii="Open Sans" w:eastAsia="Open Sans" w:hAnsi="Open Sans" w:cs="Open Sans"/>
          <w:color w:val="000000"/>
        </w:rPr>
        <w:t>al mes, Nou Barris con 16,68 €/m</w:t>
      </w:r>
      <w:r>
        <w:rPr>
          <w:rFonts w:ascii="Open Sans" w:eastAsia="Open Sans" w:hAnsi="Open Sans" w:cs="Open Sans"/>
          <w:color w:val="000000"/>
          <w:vertAlign w:val="superscript"/>
        </w:rPr>
        <w:t xml:space="preserve">2 </w:t>
      </w:r>
      <w:r>
        <w:rPr>
          <w:rFonts w:ascii="Open Sans" w:eastAsia="Open Sans" w:hAnsi="Open Sans" w:cs="Open Sans"/>
          <w:color w:val="000000"/>
        </w:rPr>
        <w:t>al mes, Gràcia con 16,23 €/m</w:t>
      </w:r>
      <w:r>
        <w:rPr>
          <w:rFonts w:ascii="Open Sans" w:eastAsia="Open Sans" w:hAnsi="Open Sans" w:cs="Open Sans"/>
          <w:color w:val="000000"/>
          <w:vertAlign w:val="superscript"/>
        </w:rPr>
        <w:t xml:space="preserve">2 </w:t>
      </w:r>
      <w:r>
        <w:rPr>
          <w:rFonts w:ascii="Open Sans" w:eastAsia="Open Sans" w:hAnsi="Open Sans" w:cs="Open Sans"/>
          <w:color w:val="000000"/>
        </w:rPr>
        <w:t>al mes y Sarrià - Sant Gervasi con 15,61 €/m</w:t>
      </w:r>
      <w:r>
        <w:rPr>
          <w:rFonts w:ascii="Open Sans" w:eastAsia="Open Sans" w:hAnsi="Open Sans" w:cs="Open Sans"/>
          <w:color w:val="000000"/>
          <w:vertAlign w:val="superscript"/>
        </w:rPr>
        <w:t xml:space="preserve">2 </w:t>
      </w:r>
      <w:r>
        <w:rPr>
          <w:rFonts w:ascii="Open Sans" w:eastAsia="Open Sans" w:hAnsi="Open Sans" w:cs="Open Sans"/>
          <w:color w:val="000000"/>
        </w:rPr>
        <w:t>al mes.</w:t>
      </w:r>
    </w:p>
    <w:p w14:paraId="0554DCC1" w14:textId="77777777" w:rsidR="000569D1" w:rsidRDefault="000569D1">
      <w:pPr>
        <w:spacing w:line="276" w:lineRule="auto"/>
        <w:ind w:right="-567"/>
        <w:jc w:val="both"/>
        <w:rPr>
          <w:rFonts w:ascii="Open Sans" w:eastAsia="Open Sans" w:hAnsi="Open Sans" w:cs="Open Sans"/>
          <w:color w:val="000000"/>
        </w:rPr>
      </w:pPr>
    </w:p>
    <w:p w14:paraId="23A58D77" w14:textId="77777777" w:rsidR="000569D1" w:rsidRDefault="00000000">
      <w:pPr>
        <w:spacing w:line="276" w:lineRule="auto"/>
        <w:ind w:right="-567"/>
        <w:jc w:val="both"/>
        <w:rPr>
          <w:rFonts w:ascii="Open Sans Light" w:eastAsia="Open Sans Light" w:hAnsi="Open Sans Light" w:cs="Open Sans Light"/>
          <w:b/>
          <w:bCs/>
          <w:color w:val="303AB2"/>
          <w:sz w:val="28"/>
          <w:szCs w:val="28"/>
        </w:rPr>
      </w:pPr>
      <w:r>
        <w:rPr>
          <w:rFonts w:ascii="Open Sans Light" w:eastAsia="Open Sans Light" w:hAnsi="Open Sans Light" w:cs="Open Sans Light"/>
          <w:b/>
          <w:bCs/>
          <w:color w:val="303AB2"/>
          <w:sz w:val="28"/>
          <w:szCs w:val="28"/>
        </w:rPr>
        <w:t>Distritos con precio, variación mensual e interanual</w:t>
      </w:r>
    </w:p>
    <w:p w14:paraId="2130CE4C" w14:textId="77777777" w:rsidR="000569D1" w:rsidRDefault="000569D1">
      <w:pPr>
        <w:spacing w:line="276" w:lineRule="auto"/>
        <w:ind w:right="-567"/>
        <w:jc w:val="both"/>
        <w:rPr>
          <w:rFonts w:ascii="Open Sans" w:eastAsia="Open Sans" w:hAnsi="Open Sans" w:cs="Open Sans"/>
          <w:color w:val="000000"/>
          <w:sz w:val="16"/>
          <w:szCs w:val="16"/>
        </w:rPr>
      </w:pPr>
    </w:p>
    <w:tbl>
      <w:tblPr>
        <w:tblStyle w:val="a7"/>
        <w:tblW w:w="9051" w:type="dxa"/>
        <w:tblInd w:w="-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2835"/>
        <w:gridCol w:w="2268"/>
        <w:gridCol w:w="1985"/>
        <w:gridCol w:w="1963"/>
      </w:tblGrid>
      <w:tr w:rsidR="000569D1" w14:paraId="2BA01CDF" w14:textId="77777777" w:rsidTr="000569D1">
        <w:trPr>
          <w:cnfStyle w:val="100000000000" w:firstRow="1" w:lastRow="0" w:firstColumn="0" w:lastColumn="0" w:oddVBand="0" w:evenVBand="0" w:oddHBand="0" w:evenHBand="0" w:firstRowFirstColumn="0" w:firstRowLastColumn="0" w:lastRowFirstColumn="0" w:lastRowLastColumn="0"/>
          <w:trHeight w:val="175"/>
        </w:trPr>
        <w:tc>
          <w:tcPr>
            <w:cnfStyle w:val="001000000000" w:firstRow="0" w:lastRow="0" w:firstColumn="1" w:lastColumn="0" w:oddVBand="0" w:evenVBand="0" w:oddHBand="0" w:evenHBand="0" w:firstRowFirstColumn="0" w:firstRowLastColumn="0" w:lastRowFirstColumn="0" w:lastRowLastColumn="0"/>
            <w:tcW w:w="2835" w:type="dxa"/>
            <w:tcBorders>
              <w:bottom w:val="single" w:sz="4" w:space="0" w:color="FFFFFF"/>
            </w:tcBorders>
            <w:vAlign w:val="center"/>
          </w:tcPr>
          <w:p w14:paraId="6866F8B2"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Distrito</w:t>
            </w:r>
          </w:p>
        </w:tc>
        <w:tc>
          <w:tcPr>
            <w:tcW w:w="2268" w:type="dxa"/>
            <w:tcBorders>
              <w:bottom w:val="single" w:sz="4" w:space="0" w:color="FFFFFF"/>
            </w:tcBorders>
            <w:vAlign w:val="center"/>
          </w:tcPr>
          <w:p w14:paraId="515FC29E" w14:textId="77777777" w:rsidR="000569D1" w:rsidRDefault="00000000">
            <w:pPr>
              <w:jc w:val="cente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b w:val="0"/>
                <w:bCs w:val="0"/>
                <w:sz w:val="22"/>
                <w:szCs w:val="22"/>
              </w:rPr>
              <w:t>Jul. 2026</w:t>
            </w:r>
          </w:p>
          <w:p w14:paraId="61BA0E33" w14:textId="77777777" w:rsidR="000569D1" w:rsidRDefault="00000000">
            <w:pPr>
              <w:jc w:val="cente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b w:val="0"/>
                <w:bCs w:val="0"/>
                <w:sz w:val="22"/>
                <w:szCs w:val="22"/>
              </w:rPr>
              <w:t>(€/m² al mes)</w:t>
            </w:r>
          </w:p>
        </w:tc>
        <w:tc>
          <w:tcPr>
            <w:tcW w:w="1985" w:type="dxa"/>
            <w:tcBorders>
              <w:bottom w:val="single" w:sz="4" w:space="0" w:color="FFFFFF"/>
            </w:tcBorders>
            <w:vAlign w:val="center"/>
          </w:tcPr>
          <w:p w14:paraId="39BF9C76" w14:textId="77777777" w:rsidR="000569D1" w:rsidRDefault="00000000">
            <w:pPr>
              <w:jc w:val="cente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b w:val="0"/>
                <w:bCs w:val="0"/>
                <w:sz w:val="22"/>
                <w:szCs w:val="22"/>
              </w:rPr>
              <w:t>Variación mensual (%)</w:t>
            </w:r>
          </w:p>
        </w:tc>
        <w:tc>
          <w:tcPr>
            <w:tcW w:w="1963" w:type="dxa"/>
            <w:tcBorders>
              <w:bottom w:val="single" w:sz="4" w:space="0" w:color="FFFFFF"/>
            </w:tcBorders>
            <w:vAlign w:val="center"/>
          </w:tcPr>
          <w:p w14:paraId="06E21DDB" w14:textId="77777777" w:rsidR="000569D1" w:rsidRDefault="00000000">
            <w:pPr>
              <w:jc w:val="cente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b w:val="0"/>
                <w:bCs w:val="0"/>
                <w:sz w:val="22"/>
                <w:szCs w:val="22"/>
              </w:rPr>
              <w:t>Variación interanual (%)</w:t>
            </w:r>
          </w:p>
        </w:tc>
      </w:tr>
      <w:tr w:rsidR="000569D1" w14:paraId="1D0D4ED0" w14:textId="77777777" w:rsidTr="000569D1">
        <w:trPr>
          <w:cnfStyle w:val="000000100000" w:firstRow="0" w:lastRow="0" w:firstColumn="0" w:lastColumn="0" w:oddVBand="0" w:evenVBand="0" w:oddHBand="1" w:evenHBand="0" w:firstRowFirstColumn="0" w:firstRowLastColumn="0" w:lastRowFirstColumn="0" w:lastRowLastColumn="0"/>
          <w:trHeight w:val="175"/>
        </w:trPr>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FFFFFF"/>
              <w:bottom w:val="single" w:sz="4" w:space="0" w:color="FFFFFF"/>
              <w:right w:val="single" w:sz="4" w:space="0" w:color="FFFFFF"/>
            </w:tcBorders>
            <w:vAlign w:val="bottom"/>
          </w:tcPr>
          <w:p w14:paraId="38806756"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Sarrià - Sant Gervasi</w:t>
            </w:r>
          </w:p>
        </w:tc>
        <w:tc>
          <w:tcPr>
            <w:tcW w:w="2268" w:type="dxa"/>
            <w:tcBorders>
              <w:top w:val="single" w:sz="4" w:space="0" w:color="FFFFFF"/>
              <w:left w:val="single" w:sz="4" w:space="0" w:color="FFFFFF"/>
              <w:bottom w:val="single" w:sz="4" w:space="0" w:color="FFFFFF"/>
              <w:right w:val="single" w:sz="4" w:space="0" w:color="FFFFFF"/>
            </w:tcBorders>
            <w:vAlign w:val="bottom"/>
          </w:tcPr>
          <w:p w14:paraId="31091D4B"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15,61 €</w:t>
            </w:r>
          </w:p>
        </w:tc>
        <w:tc>
          <w:tcPr>
            <w:tcW w:w="1985" w:type="dxa"/>
            <w:tcBorders>
              <w:top w:val="single" w:sz="4" w:space="0" w:color="FFFFFF"/>
              <w:left w:val="single" w:sz="4" w:space="0" w:color="FFFFFF"/>
              <w:bottom w:val="single" w:sz="4" w:space="0" w:color="FFFFFF"/>
              <w:right w:val="single" w:sz="4" w:space="0" w:color="FFFFFF"/>
            </w:tcBorders>
            <w:vAlign w:val="bottom"/>
          </w:tcPr>
          <w:p w14:paraId="45B591EC"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9C0006"/>
                <w:sz w:val="22"/>
                <w:szCs w:val="22"/>
              </w:rPr>
            </w:pPr>
            <w:r>
              <w:rPr>
                <w:rFonts w:ascii="Open Sans" w:eastAsia="Open Sans" w:hAnsi="Open Sans" w:cs="Open Sans"/>
                <w:color w:val="9C0006"/>
                <w:sz w:val="22"/>
                <w:szCs w:val="22"/>
              </w:rPr>
              <w:t>-30,2%</w:t>
            </w:r>
          </w:p>
        </w:tc>
        <w:tc>
          <w:tcPr>
            <w:tcW w:w="1963" w:type="dxa"/>
            <w:tcBorders>
              <w:top w:val="single" w:sz="4" w:space="0" w:color="FFFFFF"/>
              <w:left w:val="single" w:sz="4" w:space="0" w:color="FFFFFF"/>
              <w:bottom w:val="single" w:sz="4" w:space="0" w:color="FFFFFF"/>
              <w:right w:val="single" w:sz="4" w:space="0" w:color="FFFFFF"/>
            </w:tcBorders>
            <w:vAlign w:val="bottom"/>
          </w:tcPr>
          <w:p w14:paraId="61ABF61B"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9C0006"/>
                <w:sz w:val="22"/>
                <w:szCs w:val="22"/>
              </w:rPr>
            </w:pPr>
            <w:r>
              <w:rPr>
                <w:rFonts w:ascii="Open Sans" w:eastAsia="Open Sans" w:hAnsi="Open Sans" w:cs="Open Sans"/>
                <w:b/>
                <w:bCs/>
                <w:color w:val="9C0006"/>
                <w:sz w:val="22"/>
                <w:szCs w:val="22"/>
              </w:rPr>
              <w:t>-33,0%</w:t>
            </w:r>
          </w:p>
        </w:tc>
      </w:tr>
      <w:tr w:rsidR="000569D1" w14:paraId="44AA6EBE" w14:textId="77777777" w:rsidTr="000569D1">
        <w:trPr>
          <w:trHeight w:val="175"/>
        </w:trPr>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FFFFFF"/>
              <w:bottom w:val="single" w:sz="4" w:space="0" w:color="FFFFFF"/>
              <w:right w:val="single" w:sz="4" w:space="0" w:color="FFFFFF"/>
            </w:tcBorders>
            <w:vAlign w:val="bottom"/>
          </w:tcPr>
          <w:p w14:paraId="229555B6"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Gràcia</w:t>
            </w:r>
          </w:p>
        </w:tc>
        <w:tc>
          <w:tcPr>
            <w:tcW w:w="2268" w:type="dxa"/>
            <w:tcBorders>
              <w:top w:val="single" w:sz="4" w:space="0" w:color="FFFFFF"/>
              <w:left w:val="single" w:sz="4" w:space="0" w:color="FFFFFF"/>
              <w:bottom w:val="single" w:sz="4" w:space="0" w:color="FFFFFF"/>
              <w:right w:val="single" w:sz="4" w:space="0" w:color="FFFFFF"/>
            </w:tcBorders>
            <w:vAlign w:val="bottom"/>
          </w:tcPr>
          <w:p w14:paraId="5605D9EB"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16,23 €</w:t>
            </w:r>
          </w:p>
        </w:tc>
        <w:tc>
          <w:tcPr>
            <w:tcW w:w="1985" w:type="dxa"/>
            <w:tcBorders>
              <w:top w:val="single" w:sz="4" w:space="0" w:color="FFFFFF"/>
              <w:left w:val="single" w:sz="4" w:space="0" w:color="FFFFFF"/>
              <w:bottom w:val="single" w:sz="4" w:space="0" w:color="FFFFFF"/>
              <w:right w:val="single" w:sz="4" w:space="0" w:color="FFFFFF"/>
            </w:tcBorders>
            <w:vAlign w:val="bottom"/>
          </w:tcPr>
          <w:p w14:paraId="3985EC0E"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9C0006"/>
                <w:sz w:val="22"/>
                <w:szCs w:val="22"/>
              </w:rPr>
            </w:pPr>
            <w:r>
              <w:rPr>
                <w:rFonts w:ascii="Open Sans" w:eastAsia="Open Sans" w:hAnsi="Open Sans" w:cs="Open Sans"/>
                <w:color w:val="9C0006"/>
                <w:sz w:val="22"/>
                <w:szCs w:val="22"/>
              </w:rPr>
              <w:t>-17,6%</w:t>
            </w:r>
          </w:p>
        </w:tc>
        <w:tc>
          <w:tcPr>
            <w:tcW w:w="1963" w:type="dxa"/>
            <w:tcBorders>
              <w:top w:val="single" w:sz="4" w:space="0" w:color="FFFFFF"/>
              <w:left w:val="single" w:sz="4" w:space="0" w:color="FFFFFF"/>
              <w:bottom w:val="single" w:sz="4" w:space="0" w:color="FFFFFF"/>
              <w:right w:val="single" w:sz="4" w:space="0" w:color="FFFFFF"/>
            </w:tcBorders>
            <w:vAlign w:val="bottom"/>
          </w:tcPr>
          <w:p w14:paraId="61BDAD33"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9C0006"/>
                <w:sz w:val="22"/>
                <w:szCs w:val="22"/>
              </w:rPr>
            </w:pPr>
            <w:r>
              <w:rPr>
                <w:rFonts w:ascii="Open Sans" w:eastAsia="Open Sans" w:hAnsi="Open Sans" w:cs="Open Sans"/>
                <w:b/>
                <w:bCs/>
                <w:color w:val="9C0006"/>
                <w:sz w:val="22"/>
                <w:szCs w:val="22"/>
              </w:rPr>
              <w:t>-31,6%</w:t>
            </w:r>
          </w:p>
        </w:tc>
      </w:tr>
      <w:tr w:rsidR="000569D1" w14:paraId="03BD69D7" w14:textId="77777777" w:rsidTr="000569D1">
        <w:trPr>
          <w:cnfStyle w:val="000000100000" w:firstRow="0" w:lastRow="0" w:firstColumn="0" w:lastColumn="0" w:oddVBand="0" w:evenVBand="0" w:oddHBand="1" w:evenHBand="0" w:firstRowFirstColumn="0" w:firstRowLastColumn="0" w:lastRowFirstColumn="0" w:lastRowLastColumn="0"/>
          <w:trHeight w:val="175"/>
        </w:trPr>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FFFFFF"/>
              <w:bottom w:val="single" w:sz="4" w:space="0" w:color="FFFFFF"/>
              <w:right w:val="single" w:sz="4" w:space="0" w:color="FFFFFF"/>
            </w:tcBorders>
            <w:vAlign w:val="bottom"/>
          </w:tcPr>
          <w:p w14:paraId="59675A78"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Eixample</w:t>
            </w:r>
          </w:p>
        </w:tc>
        <w:tc>
          <w:tcPr>
            <w:tcW w:w="2268" w:type="dxa"/>
            <w:tcBorders>
              <w:top w:val="single" w:sz="4" w:space="0" w:color="FFFFFF"/>
              <w:left w:val="single" w:sz="4" w:space="0" w:color="FFFFFF"/>
              <w:bottom w:val="single" w:sz="4" w:space="0" w:color="FFFFFF"/>
              <w:right w:val="single" w:sz="4" w:space="0" w:color="FFFFFF"/>
            </w:tcBorders>
            <w:vAlign w:val="bottom"/>
          </w:tcPr>
          <w:p w14:paraId="6D069990"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17,73 €</w:t>
            </w:r>
          </w:p>
        </w:tc>
        <w:tc>
          <w:tcPr>
            <w:tcW w:w="1985" w:type="dxa"/>
            <w:tcBorders>
              <w:top w:val="single" w:sz="4" w:space="0" w:color="FFFFFF"/>
              <w:left w:val="single" w:sz="4" w:space="0" w:color="FFFFFF"/>
              <w:bottom w:val="single" w:sz="4" w:space="0" w:color="FFFFFF"/>
              <w:right w:val="single" w:sz="4" w:space="0" w:color="FFFFFF"/>
            </w:tcBorders>
            <w:vAlign w:val="bottom"/>
          </w:tcPr>
          <w:p w14:paraId="313E1FB3"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9C0006"/>
                <w:sz w:val="22"/>
                <w:szCs w:val="22"/>
              </w:rPr>
            </w:pPr>
            <w:r>
              <w:rPr>
                <w:rFonts w:ascii="Open Sans" w:eastAsia="Open Sans" w:hAnsi="Open Sans" w:cs="Open Sans"/>
                <w:color w:val="9C0006"/>
                <w:sz w:val="22"/>
                <w:szCs w:val="22"/>
              </w:rPr>
              <w:t>-20,6%</w:t>
            </w:r>
          </w:p>
        </w:tc>
        <w:tc>
          <w:tcPr>
            <w:tcW w:w="1963" w:type="dxa"/>
            <w:tcBorders>
              <w:top w:val="single" w:sz="4" w:space="0" w:color="FFFFFF"/>
              <w:left w:val="single" w:sz="4" w:space="0" w:color="FFFFFF"/>
              <w:bottom w:val="single" w:sz="4" w:space="0" w:color="FFFFFF"/>
              <w:right w:val="single" w:sz="4" w:space="0" w:color="FFFFFF"/>
            </w:tcBorders>
            <w:vAlign w:val="bottom"/>
          </w:tcPr>
          <w:p w14:paraId="3752EF91"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9C0006"/>
                <w:sz w:val="22"/>
                <w:szCs w:val="22"/>
              </w:rPr>
            </w:pPr>
            <w:r>
              <w:rPr>
                <w:rFonts w:ascii="Open Sans" w:eastAsia="Open Sans" w:hAnsi="Open Sans" w:cs="Open Sans"/>
                <w:b/>
                <w:bCs/>
                <w:color w:val="9C0006"/>
                <w:sz w:val="22"/>
                <w:szCs w:val="22"/>
              </w:rPr>
              <w:t>-25,8%</w:t>
            </w:r>
          </w:p>
        </w:tc>
      </w:tr>
      <w:tr w:rsidR="000569D1" w14:paraId="0FD3D450" w14:textId="77777777" w:rsidTr="000569D1">
        <w:trPr>
          <w:trHeight w:val="175"/>
        </w:trPr>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FFFFFF"/>
              <w:bottom w:val="single" w:sz="4" w:space="0" w:color="FFFFFF"/>
              <w:right w:val="single" w:sz="4" w:space="0" w:color="FFFFFF"/>
            </w:tcBorders>
            <w:vAlign w:val="bottom"/>
          </w:tcPr>
          <w:p w14:paraId="1492209E"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Nou Barris</w:t>
            </w:r>
          </w:p>
        </w:tc>
        <w:tc>
          <w:tcPr>
            <w:tcW w:w="2268" w:type="dxa"/>
            <w:tcBorders>
              <w:top w:val="single" w:sz="4" w:space="0" w:color="FFFFFF"/>
              <w:left w:val="single" w:sz="4" w:space="0" w:color="FFFFFF"/>
              <w:bottom w:val="single" w:sz="4" w:space="0" w:color="FFFFFF"/>
              <w:right w:val="single" w:sz="4" w:space="0" w:color="FFFFFF"/>
            </w:tcBorders>
            <w:vAlign w:val="bottom"/>
          </w:tcPr>
          <w:p w14:paraId="44FA1A20"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16,68 €</w:t>
            </w:r>
          </w:p>
        </w:tc>
        <w:tc>
          <w:tcPr>
            <w:tcW w:w="1985" w:type="dxa"/>
            <w:tcBorders>
              <w:top w:val="single" w:sz="4" w:space="0" w:color="FFFFFF"/>
              <w:left w:val="single" w:sz="4" w:space="0" w:color="FFFFFF"/>
              <w:bottom w:val="single" w:sz="4" w:space="0" w:color="FFFFFF"/>
              <w:right w:val="single" w:sz="4" w:space="0" w:color="FFFFFF"/>
            </w:tcBorders>
            <w:vAlign w:val="bottom"/>
          </w:tcPr>
          <w:p w14:paraId="49C91777" w14:textId="77777777" w:rsidR="000569D1" w:rsidRDefault="000569D1">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9C0006"/>
                <w:sz w:val="22"/>
                <w:szCs w:val="22"/>
              </w:rPr>
            </w:pPr>
          </w:p>
        </w:tc>
        <w:tc>
          <w:tcPr>
            <w:tcW w:w="1963" w:type="dxa"/>
            <w:tcBorders>
              <w:top w:val="single" w:sz="4" w:space="0" w:color="FFFFFF"/>
              <w:left w:val="single" w:sz="4" w:space="0" w:color="FFFFFF"/>
              <w:bottom w:val="single" w:sz="4" w:space="0" w:color="FFFFFF"/>
              <w:right w:val="single" w:sz="4" w:space="0" w:color="FFFFFF"/>
            </w:tcBorders>
            <w:vAlign w:val="bottom"/>
          </w:tcPr>
          <w:p w14:paraId="429601E7"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9C0006"/>
                <w:sz w:val="22"/>
                <w:szCs w:val="22"/>
              </w:rPr>
            </w:pPr>
            <w:r>
              <w:rPr>
                <w:rFonts w:ascii="Open Sans" w:eastAsia="Open Sans" w:hAnsi="Open Sans" w:cs="Open Sans"/>
                <w:b/>
                <w:bCs/>
                <w:color w:val="9C0006"/>
                <w:sz w:val="22"/>
                <w:szCs w:val="22"/>
              </w:rPr>
              <w:t>-23,1%</w:t>
            </w:r>
          </w:p>
        </w:tc>
      </w:tr>
      <w:tr w:rsidR="000569D1" w14:paraId="402CD32B" w14:textId="77777777" w:rsidTr="000569D1">
        <w:trPr>
          <w:cnfStyle w:val="000000100000" w:firstRow="0" w:lastRow="0" w:firstColumn="0" w:lastColumn="0" w:oddVBand="0" w:evenVBand="0" w:oddHBand="1" w:evenHBand="0" w:firstRowFirstColumn="0" w:firstRowLastColumn="0" w:lastRowFirstColumn="0" w:lastRowLastColumn="0"/>
          <w:trHeight w:val="175"/>
        </w:trPr>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FFFFFF"/>
              <w:bottom w:val="single" w:sz="4" w:space="0" w:color="FFFFFF"/>
              <w:right w:val="single" w:sz="4" w:space="0" w:color="FFFFFF"/>
            </w:tcBorders>
            <w:vAlign w:val="bottom"/>
          </w:tcPr>
          <w:p w14:paraId="4C84A8ED"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Sant Andreu</w:t>
            </w:r>
          </w:p>
        </w:tc>
        <w:tc>
          <w:tcPr>
            <w:tcW w:w="2268" w:type="dxa"/>
            <w:tcBorders>
              <w:top w:val="single" w:sz="4" w:space="0" w:color="FFFFFF"/>
              <w:left w:val="single" w:sz="4" w:space="0" w:color="FFFFFF"/>
              <w:bottom w:val="single" w:sz="4" w:space="0" w:color="FFFFFF"/>
              <w:right w:val="single" w:sz="4" w:space="0" w:color="FFFFFF"/>
            </w:tcBorders>
            <w:vAlign w:val="bottom"/>
          </w:tcPr>
          <w:p w14:paraId="185157DA"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17,70 €</w:t>
            </w:r>
          </w:p>
        </w:tc>
        <w:tc>
          <w:tcPr>
            <w:tcW w:w="1985" w:type="dxa"/>
            <w:tcBorders>
              <w:top w:val="single" w:sz="4" w:space="0" w:color="FFFFFF"/>
              <w:left w:val="single" w:sz="4" w:space="0" w:color="FFFFFF"/>
              <w:bottom w:val="single" w:sz="4" w:space="0" w:color="FFFFFF"/>
              <w:right w:val="single" w:sz="4" w:space="0" w:color="FFFFFF"/>
            </w:tcBorders>
            <w:vAlign w:val="bottom"/>
          </w:tcPr>
          <w:p w14:paraId="03A4122D"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9C0006"/>
                <w:sz w:val="22"/>
                <w:szCs w:val="22"/>
              </w:rPr>
            </w:pPr>
            <w:r>
              <w:rPr>
                <w:rFonts w:ascii="Open Sans" w:eastAsia="Open Sans" w:hAnsi="Open Sans" w:cs="Open Sans"/>
                <w:color w:val="9C0006"/>
                <w:sz w:val="22"/>
                <w:szCs w:val="22"/>
              </w:rPr>
              <w:t>-20,7%</w:t>
            </w:r>
          </w:p>
        </w:tc>
        <w:tc>
          <w:tcPr>
            <w:tcW w:w="1963" w:type="dxa"/>
            <w:tcBorders>
              <w:top w:val="single" w:sz="4" w:space="0" w:color="FFFFFF"/>
              <w:left w:val="single" w:sz="4" w:space="0" w:color="FFFFFF"/>
              <w:bottom w:val="single" w:sz="4" w:space="0" w:color="FFFFFF"/>
              <w:right w:val="single" w:sz="4" w:space="0" w:color="FFFFFF"/>
            </w:tcBorders>
            <w:vAlign w:val="bottom"/>
          </w:tcPr>
          <w:p w14:paraId="485A02DE"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9C0006"/>
                <w:sz w:val="22"/>
                <w:szCs w:val="22"/>
              </w:rPr>
            </w:pPr>
            <w:r>
              <w:rPr>
                <w:rFonts w:ascii="Open Sans" w:eastAsia="Open Sans" w:hAnsi="Open Sans" w:cs="Open Sans"/>
                <w:b/>
                <w:bCs/>
                <w:color w:val="9C0006"/>
                <w:sz w:val="22"/>
                <w:szCs w:val="22"/>
              </w:rPr>
              <w:t>-20,5%</w:t>
            </w:r>
          </w:p>
        </w:tc>
      </w:tr>
      <w:tr w:rsidR="000569D1" w14:paraId="03759E60" w14:textId="77777777" w:rsidTr="000569D1">
        <w:trPr>
          <w:trHeight w:val="175"/>
        </w:trPr>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FFFFFF"/>
              <w:bottom w:val="single" w:sz="4" w:space="0" w:color="FFFFFF"/>
              <w:right w:val="single" w:sz="4" w:space="0" w:color="FFFFFF"/>
            </w:tcBorders>
            <w:vAlign w:val="bottom"/>
          </w:tcPr>
          <w:p w14:paraId="12ADEE44"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Ciutat Vella</w:t>
            </w:r>
          </w:p>
        </w:tc>
        <w:tc>
          <w:tcPr>
            <w:tcW w:w="2268" w:type="dxa"/>
            <w:tcBorders>
              <w:top w:val="single" w:sz="4" w:space="0" w:color="FFFFFF"/>
              <w:left w:val="single" w:sz="4" w:space="0" w:color="FFFFFF"/>
              <w:bottom w:val="single" w:sz="4" w:space="0" w:color="FFFFFF"/>
              <w:right w:val="single" w:sz="4" w:space="0" w:color="FFFFFF"/>
            </w:tcBorders>
            <w:vAlign w:val="bottom"/>
          </w:tcPr>
          <w:p w14:paraId="359A71C8"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19,10 €</w:t>
            </w:r>
          </w:p>
        </w:tc>
        <w:tc>
          <w:tcPr>
            <w:tcW w:w="1985" w:type="dxa"/>
            <w:tcBorders>
              <w:top w:val="single" w:sz="4" w:space="0" w:color="FFFFFF"/>
              <w:left w:val="single" w:sz="4" w:space="0" w:color="FFFFFF"/>
              <w:bottom w:val="single" w:sz="4" w:space="0" w:color="FFFFFF"/>
              <w:right w:val="single" w:sz="4" w:space="0" w:color="FFFFFF"/>
            </w:tcBorders>
            <w:vAlign w:val="bottom"/>
          </w:tcPr>
          <w:p w14:paraId="010BDFA6"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9C0006"/>
                <w:sz w:val="22"/>
                <w:szCs w:val="22"/>
              </w:rPr>
            </w:pPr>
            <w:r>
              <w:rPr>
                <w:rFonts w:ascii="Open Sans" w:eastAsia="Open Sans" w:hAnsi="Open Sans" w:cs="Open Sans"/>
                <w:color w:val="9C0006"/>
                <w:sz w:val="22"/>
                <w:szCs w:val="22"/>
              </w:rPr>
              <w:t>-13,3%</w:t>
            </w:r>
          </w:p>
        </w:tc>
        <w:tc>
          <w:tcPr>
            <w:tcW w:w="1963" w:type="dxa"/>
            <w:tcBorders>
              <w:top w:val="single" w:sz="4" w:space="0" w:color="FFFFFF"/>
              <w:left w:val="single" w:sz="4" w:space="0" w:color="FFFFFF"/>
              <w:bottom w:val="single" w:sz="4" w:space="0" w:color="FFFFFF"/>
              <w:right w:val="single" w:sz="4" w:space="0" w:color="FFFFFF"/>
            </w:tcBorders>
            <w:vAlign w:val="bottom"/>
          </w:tcPr>
          <w:p w14:paraId="3F8F9C8D"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9C0006"/>
                <w:sz w:val="22"/>
                <w:szCs w:val="22"/>
              </w:rPr>
            </w:pPr>
            <w:r>
              <w:rPr>
                <w:rFonts w:ascii="Open Sans" w:eastAsia="Open Sans" w:hAnsi="Open Sans" w:cs="Open Sans"/>
                <w:b/>
                <w:bCs/>
                <w:color w:val="9C0006"/>
                <w:sz w:val="22"/>
                <w:szCs w:val="22"/>
              </w:rPr>
              <w:t>-19,3%</w:t>
            </w:r>
          </w:p>
        </w:tc>
      </w:tr>
      <w:tr w:rsidR="000569D1" w14:paraId="3CA1C520" w14:textId="77777777" w:rsidTr="000569D1">
        <w:trPr>
          <w:cnfStyle w:val="000000100000" w:firstRow="0" w:lastRow="0" w:firstColumn="0" w:lastColumn="0" w:oddVBand="0" w:evenVBand="0" w:oddHBand="1" w:evenHBand="0" w:firstRowFirstColumn="0" w:firstRowLastColumn="0" w:lastRowFirstColumn="0" w:lastRowLastColumn="0"/>
          <w:trHeight w:val="175"/>
        </w:trPr>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FFFFFF"/>
              <w:bottom w:val="single" w:sz="4" w:space="0" w:color="FFFFFF"/>
              <w:right w:val="single" w:sz="4" w:space="0" w:color="FFFFFF"/>
            </w:tcBorders>
            <w:vAlign w:val="bottom"/>
          </w:tcPr>
          <w:p w14:paraId="52497CF3"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Sants - Montjuïc</w:t>
            </w:r>
          </w:p>
        </w:tc>
        <w:tc>
          <w:tcPr>
            <w:tcW w:w="2268" w:type="dxa"/>
            <w:tcBorders>
              <w:top w:val="single" w:sz="4" w:space="0" w:color="FFFFFF"/>
              <w:left w:val="single" w:sz="4" w:space="0" w:color="FFFFFF"/>
              <w:bottom w:val="single" w:sz="4" w:space="0" w:color="FFFFFF"/>
              <w:right w:val="single" w:sz="4" w:space="0" w:color="FFFFFF"/>
            </w:tcBorders>
            <w:vAlign w:val="bottom"/>
          </w:tcPr>
          <w:p w14:paraId="684B5955"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18,97 €</w:t>
            </w:r>
          </w:p>
        </w:tc>
        <w:tc>
          <w:tcPr>
            <w:tcW w:w="1985" w:type="dxa"/>
            <w:tcBorders>
              <w:top w:val="single" w:sz="4" w:space="0" w:color="FFFFFF"/>
              <w:left w:val="single" w:sz="4" w:space="0" w:color="FFFFFF"/>
              <w:bottom w:val="single" w:sz="4" w:space="0" w:color="FFFFFF"/>
              <w:right w:val="single" w:sz="4" w:space="0" w:color="FFFFFF"/>
            </w:tcBorders>
            <w:vAlign w:val="bottom"/>
          </w:tcPr>
          <w:p w14:paraId="2DAEF0AA"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9C0006"/>
                <w:sz w:val="22"/>
                <w:szCs w:val="22"/>
              </w:rPr>
            </w:pPr>
            <w:r>
              <w:rPr>
                <w:rFonts w:ascii="Open Sans" w:eastAsia="Open Sans" w:hAnsi="Open Sans" w:cs="Open Sans"/>
                <w:color w:val="9C0006"/>
                <w:sz w:val="22"/>
                <w:szCs w:val="22"/>
              </w:rPr>
              <w:t>-7,5%</w:t>
            </w:r>
          </w:p>
        </w:tc>
        <w:tc>
          <w:tcPr>
            <w:tcW w:w="1963" w:type="dxa"/>
            <w:tcBorders>
              <w:top w:val="single" w:sz="4" w:space="0" w:color="FFFFFF"/>
              <w:left w:val="single" w:sz="4" w:space="0" w:color="FFFFFF"/>
              <w:bottom w:val="single" w:sz="4" w:space="0" w:color="FFFFFF"/>
              <w:right w:val="single" w:sz="4" w:space="0" w:color="FFFFFF"/>
            </w:tcBorders>
            <w:vAlign w:val="bottom"/>
          </w:tcPr>
          <w:p w14:paraId="2B537AFB"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9C0006"/>
                <w:sz w:val="22"/>
                <w:szCs w:val="22"/>
              </w:rPr>
            </w:pPr>
            <w:r>
              <w:rPr>
                <w:rFonts w:ascii="Open Sans" w:eastAsia="Open Sans" w:hAnsi="Open Sans" w:cs="Open Sans"/>
                <w:b/>
                <w:bCs/>
                <w:color w:val="9C0006"/>
                <w:sz w:val="22"/>
                <w:szCs w:val="22"/>
              </w:rPr>
              <w:t>-17,7%</w:t>
            </w:r>
          </w:p>
        </w:tc>
      </w:tr>
      <w:tr w:rsidR="000569D1" w14:paraId="4211E06D" w14:textId="77777777" w:rsidTr="000569D1">
        <w:trPr>
          <w:trHeight w:val="175"/>
        </w:trPr>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FFFFFF"/>
              <w:bottom w:val="single" w:sz="4" w:space="0" w:color="FFFFFF"/>
              <w:right w:val="single" w:sz="4" w:space="0" w:color="FFFFFF"/>
            </w:tcBorders>
            <w:vAlign w:val="bottom"/>
          </w:tcPr>
          <w:p w14:paraId="25144394"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Sant Martí</w:t>
            </w:r>
          </w:p>
        </w:tc>
        <w:tc>
          <w:tcPr>
            <w:tcW w:w="2268" w:type="dxa"/>
            <w:tcBorders>
              <w:top w:val="single" w:sz="4" w:space="0" w:color="FFFFFF"/>
              <w:left w:val="single" w:sz="4" w:space="0" w:color="FFFFFF"/>
              <w:bottom w:val="single" w:sz="4" w:space="0" w:color="FFFFFF"/>
              <w:right w:val="single" w:sz="4" w:space="0" w:color="FFFFFF"/>
            </w:tcBorders>
            <w:vAlign w:val="bottom"/>
          </w:tcPr>
          <w:p w14:paraId="15714E46"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21,85 €</w:t>
            </w:r>
          </w:p>
        </w:tc>
        <w:tc>
          <w:tcPr>
            <w:tcW w:w="1985" w:type="dxa"/>
            <w:tcBorders>
              <w:top w:val="single" w:sz="4" w:space="0" w:color="FFFFFF"/>
              <w:left w:val="single" w:sz="4" w:space="0" w:color="FFFFFF"/>
              <w:bottom w:val="single" w:sz="4" w:space="0" w:color="FFFFFF"/>
              <w:right w:val="single" w:sz="4" w:space="0" w:color="FFFFFF"/>
            </w:tcBorders>
            <w:vAlign w:val="bottom"/>
          </w:tcPr>
          <w:p w14:paraId="36D48E2D"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9C0006"/>
                <w:sz w:val="22"/>
                <w:szCs w:val="22"/>
              </w:rPr>
            </w:pPr>
            <w:r>
              <w:rPr>
                <w:rFonts w:ascii="Open Sans" w:eastAsia="Open Sans" w:hAnsi="Open Sans" w:cs="Open Sans"/>
                <w:color w:val="000000"/>
                <w:sz w:val="22"/>
                <w:szCs w:val="22"/>
              </w:rPr>
              <w:t>5,9%</w:t>
            </w:r>
          </w:p>
        </w:tc>
        <w:tc>
          <w:tcPr>
            <w:tcW w:w="1963" w:type="dxa"/>
            <w:tcBorders>
              <w:top w:val="single" w:sz="4" w:space="0" w:color="FFFFFF"/>
              <w:left w:val="single" w:sz="4" w:space="0" w:color="FFFFFF"/>
              <w:bottom w:val="single" w:sz="4" w:space="0" w:color="FFFFFF"/>
              <w:right w:val="single" w:sz="4" w:space="0" w:color="FFFFFF"/>
            </w:tcBorders>
            <w:vAlign w:val="bottom"/>
          </w:tcPr>
          <w:p w14:paraId="135F1769"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9C0006"/>
                <w:sz w:val="22"/>
                <w:szCs w:val="22"/>
              </w:rPr>
            </w:pPr>
            <w:r>
              <w:rPr>
                <w:rFonts w:ascii="Open Sans" w:eastAsia="Open Sans" w:hAnsi="Open Sans" w:cs="Open Sans"/>
                <w:b/>
                <w:bCs/>
                <w:color w:val="9C0006"/>
                <w:sz w:val="22"/>
                <w:szCs w:val="22"/>
              </w:rPr>
              <w:t>-6,3%</w:t>
            </w:r>
          </w:p>
        </w:tc>
      </w:tr>
      <w:tr w:rsidR="000569D1" w14:paraId="7BF43BD8" w14:textId="77777777" w:rsidTr="000569D1">
        <w:trPr>
          <w:cnfStyle w:val="000000100000" w:firstRow="0" w:lastRow="0" w:firstColumn="0" w:lastColumn="0" w:oddVBand="0" w:evenVBand="0" w:oddHBand="1" w:evenHBand="0" w:firstRowFirstColumn="0" w:firstRowLastColumn="0" w:lastRowFirstColumn="0" w:lastRowLastColumn="0"/>
          <w:trHeight w:val="175"/>
        </w:trPr>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FFFFFF"/>
              <w:bottom w:val="single" w:sz="4" w:space="0" w:color="FFFFFF"/>
              <w:right w:val="single" w:sz="4" w:space="0" w:color="FFFFFF"/>
            </w:tcBorders>
            <w:vAlign w:val="bottom"/>
          </w:tcPr>
          <w:p w14:paraId="42DB81CD"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Les Corts</w:t>
            </w:r>
          </w:p>
        </w:tc>
        <w:tc>
          <w:tcPr>
            <w:tcW w:w="2268" w:type="dxa"/>
            <w:tcBorders>
              <w:top w:val="single" w:sz="4" w:space="0" w:color="FFFFFF"/>
              <w:left w:val="single" w:sz="4" w:space="0" w:color="FFFFFF"/>
              <w:bottom w:val="single" w:sz="4" w:space="0" w:color="FFFFFF"/>
              <w:right w:val="single" w:sz="4" w:space="0" w:color="FFFFFF"/>
            </w:tcBorders>
            <w:vAlign w:val="bottom"/>
          </w:tcPr>
          <w:p w14:paraId="7A0F64E5"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21,30 €</w:t>
            </w:r>
          </w:p>
        </w:tc>
        <w:tc>
          <w:tcPr>
            <w:tcW w:w="1985" w:type="dxa"/>
            <w:tcBorders>
              <w:top w:val="single" w:sz="4" w:space="0" w:color="FFFFFF"/>
              <w:left w:val="single" w:sz="4" w:space="0" w:color="FFFFFF"/>
              <w:bottom w:val="single" w:sz="4" w:space="0" w:color="FFFFFF"/>
              <w:right w:val="single" w:sz="4" w:space="0" w:color="FFFFFF"/>
            </w:tcBorders>
            <w:vAlign w:val="bottom"/>
          </w:tcPr>
          <w:p w14:paraId="3B9E93B6"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9C0006"/>
                <w:sz w:val="22"/>
                <w:szCs w:val="22"/>
              </w:rPr>
            </w:pPr>
            <w:r>
              <w:rPr>
                <w:rFonts w:ascii="Open Sans" w:eastAsia="Open Sans" w:hAnsi="Open Sans" w:cs="Open Sans"/>
                <w:color w:val="9C0006"/>
                <w:sz w:val="22"/>
                <w:szCs w:val="22"/>
              </w:rPr>
              <w:t>-5,6%</w:t>
            </w:r>
          </w:p>
        </w:tc>
        <w:tc>
          <w:tcPr>
            <w:tcW w:w="1963" w:type="dxa"/>
            <w:tcBorders>
              <w:top w:val="single" w:sz="4" w:space="0" w:color="FFFFFF"/>
              <w:left w:val="single" w:sz="4" w:space="0" w:color="FFFFFF"/>
              <w:bottom w:val="single" w:sz="4" w:space="0" w:color="FFFFFF"/>
              <w:right w:val="single" w:sz="4" w:space="0" w:color="FFFFFF"/>
            </w:tcBorders>
            <w:vAlign w:val="bottom"/>
          </w:tcPr>
          <w:p w14:paraId="4D9583F5" w14:textId="77777777" w:rsidR="000569D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9C0006"/>
                <w:sz w:val="22"/>
                <w:szCs w:val="22"/>
              </w:rPr>
            </w:pPr>
            <w:r>
              <w:rPr>
                <w:rFonts w:ascii="Open Sans" w:eastAsia="Open Sans" w:hAnsi="Open Sans" w:cs="Open Sans"/>
                <w:b/>
                <w:bCs/>
                <w:color w:val="9C0006"/>
                <w:sz w:val="22"/>
                <w:szCs w:val="22"/>
              </w:rPr>
              <w:t>-6,3%</w:t>
            </w:r>
          </w:p>
        </w:tc>
      </w:tr>
      <w:tr w:rsidR="000569D1" w14:paraId="5E6B9032" w14:textId="77777777" w:rsidTr="000569D1">
        <w:trPr>
          <w:trHeight w:val="175"/>
        </w:trPr>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FFFFFF"/>
              <w:right w:val="single" w:sz="4" w:space="0" w:color="FFFFFF"/>
            </w:tcBorders>
            <w:vAlign w:val="bottom"/>
          </w:tcPr>
          <w:p w14:paraId="63A8D89C" w14:textId="77777777" w:rsidR="000569D1" w:rsidRDefault="00000000">
            <w:pPr>
              <w:rPr>
                <w:rFonts w:ascii="Open Sans" w:eastAsia="Open Sans" w:hAnsi="Open Sans" w:cs="Open Sans"/>
                <w:sz w:val="22"/>
                <w:szCs w:val="22"/>
              </w:rPr>
            </w:pPr>
            <w:r>
              <w:rPr>
                <w:rFonts w:ascii="Open Sans" w:eastAsia="Open Sans" w:hAnsi="Open Sans" w:cs="Open Sans"/>
                <w:b w:val="0"/>
                <w:bCs w:val="0"/>
                <w:sz w:val="22"/>
                <w:szCs w:val="22"/>
              </w:rPr>
              <w:t>Horta - Guinardó</w:t>
            </w:r>
          </w:p>
        </w:tc>
        <w:tc>
          <w:tcPr>
            <w:tcW w:w="2268" w:type="dxa"/>
            <w:tcBorders>
              <w:top w:val="single" w:sz="4" w:space="0" w:color="FFFFFF"/>
              <w:left w:val="single" w:sz="4" w:space="0" w:color="FFFFFF"/>
              <w:bottom w:val="single" w:sz="4" w:space="0" w:color="FFFFFF"/>
              <w:right w:val="single" w:sz="4" w:space="0" w:color="FFFFFF"/>
            </w:tcBorders>
            <w:vAlign w:val="bottom"/>
          </w:tcPr>
          <w:p w14:paraId="5F8ABE59"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19,43 €</w:t>
            </w:r>
          </w:p>
        </w:tc>
        <w:tc>
          <w:tcPr>
            <w:tcW w:w="1985" w:type="dxa"/>
            <w:tcBorders>
              <w:top w:val="single" w:sz="4" w:space="0" w:color="FFFFFF"/>
              <w:left w:val="single" w:sz="4" w:space="0" w:color="FFFFFF"/>
              <w:bottom w:val="single" w:sz="4" w:space="0" w:color="FFFFFF"/>
              <w:right w:val="single" w:sz="4" w:space="0" w:color="FFFFFF"/>
            </w:tcBorders>
            <w:vAlign w:val="bottom"/>
          </w:tcPr>
          <w:p w14:paraId="68B548D3"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9C0006"/>
                <w:sz w:val="22"/>
                <w:szCs w:val="22"/>
              </w:rPr>
            </w:pPr>
            <w:r>
              <w:rPr>
                <w:rFonts w:ascii="Open Sans" w:eastAsia="Open Sans" w:hAnsi="Open Sans" w:cs="Open Sans"/>
                <w:color w:val="000000"/>
                <w:sz w:val="22"/>
                <w:szCs w:val="22"/>
              </w:rPr>
              <w:t>6,0%</w:t>
            </w:r>
          </w:p>
        </w:tc>
        <w:tc>
          <w:tcPr>
            <w:tcW w:w="1963" w:type="dxa"/>
            <w:tcBorders>
              <w:top w:val="single" w:sz="4" w:space="0" w:color="FFFFFF"/>
              <w:left w:val="single" w:sz="4" w:space="0" w:color="FFFFFF"/>
              <w:bottom w:val="single" w:sz="4" w:space="0" w:color="FFFFFF"/>
              <w:right w:val="single" w:sz="4" w:space="0" w:color="FFFFFF"/>
            </w:tcBorders>
            <w:vAlign w:val="bottom"/>
          </w:tcPr>
          <w:p w14:paraId="0DB7C775" w14:textId="77777777" w:rsidR="000569D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9C0006"/>
                <w:sz w:val="22"/>
                <w:szCs w:val="22"/>
              </w:rPr>
            </w:pPr>
            <w:r>
              <w:rPr>
                <w:rFonts w:ascii="Open Sans" w:eastAsia="Open Sans" w:hAnsi="Open Sans" w:cs="Open Sans"/>
                <w:b/>
                <w:bCs/>
                <w:color w:val="9C0006"/>
                <w:sz w:val="22"/>
                <w:szCs w:val="22"/>
              </w:rPr>
              <w:t>-6,0%</w:t>
            </w:r>
          </w:p>
        </w:tc>
      </w:tr>
    </w:tbl>
    <w:p w14:paraId="5F87ACF2" w14:textId="77777777" w:rsidR="000569D1" w:rsidRDefault="000569D1">
      <w:pPr>
        <w:spacing w:line="276" w:lineRule="auto"/>
        <w:ind w:right="-426"/>
        <w:jc w:val="right"/>
        <w:rPr>
          <w:rFonts w:ascii="Open Sans Light" w:eastAsia="Open Sans Light" w:hAnsi="Open Sans Light" w:cs="Open Sans Light"/>
          <w:b/>
          <w:bCs/>
          <w:color w:val="303AB2"/>
        </w:rPr>
      </w:pPr>
    </w:p>
    <w:p w14:paraId="7302B77F" w14:textId="77777777" w:rsidR="000569D1" w:rsidRDefault="00000000">
      <w:pPr>
        <w:spacing w:line="276" w:lineRule="auto"/>
        <w:ind w:right="-433"/>
        <w:jc w:val="right"/>
        <w:rPr>
          <w:rFonts w:ascii="Open Sans Light" w:eastAsia="Open Sans Light" w:hAnsi="Open Sans Light" w:cs="Open Sans Light"/>
          <w:b/>
          <w:bCs/>
          <w:color w:val="303AB2"/>
        </w:rPr>
      </w:pPr>
      <w:r>
        <w:rPr>
          <w:rFonts w:ascii="Open Sans Light" w:eastAsia="Open Sans Light" w:hAnsi="Open Sans Light" w:cs="Open Sans Light"/>
          <w:b/>
          <w:bCs/>
          <w:color w:val="303AB2"/>
        </w:rPr>
        <w:t>Sobre Fotocasa</w:t>
      </w:r>
    </w:p>
    <w:p w14:paraId="4A467F71" w14:textId="77777777" w:rsidR="000569D1" w:rsidRDefault="00000000">
      <w:pPr>
        <w:shd w:val="clear" w:color="auto" w:fill="FFFFFF"/>
        <w:spacing w:before="280" w:after="280" w:line="276" w:lineRule="auto"/>
        <w:ind w:right="-433"/>
        <w:jc w:val="both"/>
        <w:rPr>
          <w:rFonts w:ascii="Open Sans" w:eastAsia="Open Sans" w:hAnsi="Open Sans" w:cs="Open Sans"/>
          <w:sz w:val="22"/>
          <w:szCs w:val="22"/>
        </w:rPr>
      </w:pPr>
      <w:r>
        <w:rPr>
          <w:rFonts w:ascii="Open Sans" w:eastAsia="Open Sans" w:hAnsi="Open Sans" w:cs="Open Sans"/>
          <w:sz w:val="22"/>
          <w:szCs w:val="22"/>
        </w:rPr>
        <w:t xml:space="preserve">Fotocasa es uno de los principales portales inmobiliarios de España, con una amplia oferta de viviendas de segunda mano, promociones de obra nueva y alquileres que pertenece a </w:t>
      </w:r>
      <w:r>
        <w:rPr>
          <w:rFonts w:ascii="Open Sans" w:eastAsia="Open Sans" w:hAnsi="Open Sans" w:cs="Open Sans"/>
          <w:b/>
          <w:bCs/>
          <w:sz w:val="22"/>
          <w:szCs w:val="22"/>
        </w:rPr>
        <w:t>Fotocasa Group</w:t>
      </w:r>
      <w:r>
        <w:rPr>
          <w:rFonts w:ascii="Open Sans" w:eastAsia="Open Sans" w:hAnsi="Open Sans" w:cs="Open Sans"/>
          <w:sz w:val="22"/>
          <w:szCs w:val="22"/>
        </w:rPr>
        <w:t xml:space="preserve">. </w:t>
      </w:r>
    </w:p>
    <w:p w14:paraId="0D93F915" w14:textId="77777777" w:rsidR="000569D1" w:rsidRDefault="00000000">
      <w:pPr>
        <w:shd w:val="clear" w:color="auto" w:fill="FFFFFF"/>
        <w:spacing w:before="280" w:after="280" w:line="276" w:lineRule="auto"/>
        <w:ind w:right="-433"/>
        <w:jc w:val="both"/>
        <w:rPr>
          <w:rFonts w:ascii="Open Sans" w:eastAsia="Open Sans" w:hAnsi="Open Sans" w:cs="Open Sans"/>
          <w:sz w:val="22"/>
          <w:szCs w:val="22"/>
        </w:rPr>
      </w:pPr>
      <w:r>
        <w:rPr>
          <w:rFonts w:ascii="Open Sans" w:eastAsia="Open Sans" w:hAnsi="Open Sans" w:cs="Open Sans"/>
          <w:sz w:val="22"/>
          <w:szCs w:val="22"/>
        </w:rPr>
        <w:t xml:space="preserve">Mensualmente, elabora el </w:t>
      </w:r>
      <w:hyperlink r:id="rId17">
        <w:r w:rsidR="000569D1">
          <w:rPr>
            <w:rFonts w:ascii="Open Sans" w:eastAsia="Open Sans" w:hAnsi="Open Sans" w:cs="Open Sans"/>
            <w:b/>
            <w:bCs/>
            <w:color w:val="0000FF"/>
            <w:sz w:val="22"/>
            <w:szCs w:val="22"/>
            <w:u w:val="single"/>
          </w:rPr>
          <w:t>Índice inmobiliario Fotocasa</w:t>
        </w:r>
      </w:hyperlink>
      <w:r>
        <w:rPr>
          <w:rFonts w:ascii="Open Sans" w:eastAsia="Open Sans" w:hAnsi="Open Sans" w:cs="Open Sans"/>
          <w:sz w:val="22"/>
          <w:szCs w:val="22"/>
        </w:rPr>
        <w:t xml:space="preserve">, un informe de referencia que analiza la evolución del precio medio de la vivienda en España, tanto en venta como en alquiler. Desde 2017, desarrolla además estudios sociológicos bajo el sello </w:t>
      </w:r>
      <w:hyperlink r:id="rId18">
        <w:r w:rsidR="000569D1">
          <w:rPr>
            <w:rFonts w:ascii="Open Sans" w:eastAsia="Open Sans" w:hAnsi="Open Sans" w:cs="Open Sans"/>
            <w:b/>
            <w:bCs/>
            <w:color w:val="0000FF"/>
            <w:sz w:val="22"/>
            <w:szCs w:val="22"/>
            <w:u w:val="single"/>
          </w:rPr>
          <w:t>Fotocasa Research</w:t>
        </w:r>
      </w:hyperlink>
      <w:r>
        <w:rPr>
          <w:rFonts w:ascii="Open Sans" w:eastAsia="Open Sans" w:hAnsi="Open Sans" w:cs="Open Sans"/>
          <w:sz w:val="22"/>
          <w:szCs w:val="22"/>
        </w:rPr>
        <w:t xml:space="preserve">, con el objetivo de aportar conocimiento y análisis en profundidad sobre las </w:t>
      </w:r>
      <w:r>
        <w:rPr>
          <w:rFonts w:ascii="Open Sans" w:eastAsia="Open Sans" w:hAnsi="Open Sans" w:cs="Open Sans"/>
          <w:sz w:val="22"/>
          <w:szCs w:val="22"/>
        </w:rPr>
        <w:lastRenderedPageBreak/>
        <w:t>tendencias del mercado y el comportamiento de los ciudadanos en relación con la vivienda.</w:t>
      </w:r>
    </w:p>
    <w:p w14:paraId="00C744BE" w14:textId="77777777" w:rsidR="000569D1" w:rsidRDefault="00000000">
      <w:pPr>
        <w:shd w:val="clear" w:color="auto" w:fill="FFFFFF"/>
        <w:spacing w:before="280" w:after="280" w:line="276" w:lineRule="auto"/>
        <w:ind w:right="-433"/>
        <w:jc w:val="both"/>
        <w:rPr>
          <w:rFonts w:ascii="Open Sans" w:eastAsia="Open Sans" w:hAnsi="Open Sans" w:cs="Open Sans"/>
          <w:sz w:val="22"/>
          <w:szCs w:val="22"/>
        </w:rPr>
      </w:pPr>
      <w:r>
        <w:rPr>
          <w:rFonts w:ascii="Open Sans" w:eastAsia="Open Sans" w:hAnsi="Open Sans" w:cs="Open Sans"/>
          <w:sz w:val="22"/>
          <w:szCs w:val="22"/>
        </w:rPr>
        <w:t xml:space="preserve">Toda la información y los últimos comunicados están disponibles en su </w:t>
      </w:r>
      <w:hyperlink r:id="rId19">
        <w:r w:rsidR="000569D1">
          <w:rPr>
            <w:rFonts w:ascii="Open Sans" w:eastAsia="Open Sans" w:hAnsi="Open Sans" w:cs="Open Sans"/>
            <w:b/>
            <w:bCs/>
            <w:color w:val="0000FF"/>
            <w:sz w:val="22"/>
            <w:szCs w:val="22"/>
            <w:u w:val="single"/>
          </w:rPr>
          <w:t>Sala de Prensa</w:t>
        </w:r>
      </w:hyperlink>
    </w:p>
    <w:p w14:paraId="77A4E3A5" w14:textId="77777777" w:rsidR="000569D1" w:rsidRDefault="000569D1">
      <w:pPr>
        <w:spacing w:line="276" w:lineRule="auto"/>
        <w:ind w:right="-433"/>
        <w:rPr>
          <w:rFonts w:ascii="Open Sans Light" w:eastAsia="Open Sans Light" w:hAnsi="Open Sans Light" w:cs="Open Sans Light"/>
          <w:b/>
          <w:bCs/>
          <w:color w:val="303AB2"/>
        </w:rPr>
      </w:pPr>
    </w:p>
    <w:p w14:paraId="0BBE1ABF" w14:textId="77777777" w:rsidR="000569D1" w:rsidRDefault="00000000">
      <w:pPr>
        <w:spacing w:line="276" w:lineRule="auto"/>
        <w:ind w:right="-433"/>
        <w:jc w:val="right"/>
        <w:rPr>
          <w:rFonts w:ascii="Open Sans Light" w:eastAsia="Open Sans Light" w:hAnsi="Open Sans Light" w:cs="Open Sans Light"/>
          <w:b/>
          <w:bCs/>
          <w:color w:val="303AB2"/>
        </w:rPr>
      </w:pPr>
      <w:r>
        <w:rPr>
          <w:rFonts w:ascii="Open Sans Light" w:eastAsia="Open Sans Light" w:hAnsi="Open Sans Light" w:cs="Open Sans Light"/>
          <w:b/>
          <w:bCs/>
          <w:color w:val="303AB2"/>
        </w:rPr>
        <w:t>Sobre Fotocasa Group</w:t>
      </w:r>
    </w:p>
    <w:p w14:paraId="1714BC53" w14:textId="77777777" w:rsidR="000569D1" w:rsidRDefault="00000000">
      <w:pPr>
        <w:shd w:val="clear" w:color="auto" w:fill="FFFFFF"/>
        <w:spacing w:before="280" w:after="280" w:line="276" w:lineRule="auto"/>
        <w:ind w:right="-433"/>
        <w:jc w:val="both"/>
        <w:rPr>
          <w:rFonts w:ascii="Open Sans" w:eastAsia="Open Sans" w:hAnsi="Open Sans" w:cs="Open Sans"/>
          <w:sz w:val="22"/>
          <w:szCs w:val="22"/>
        </w:rPr>
      </w:pPr>
      <w:r>
        <w:rPr>
          <w:rFonts w:ascii="Open Sans" w:eastAsia="Open Sans" w:hAnsi="Open Sans" w:cs="Open Sans"/>
          <w:b/>
          <w:bCs/>
          <w:sz w:val="22"/>
          <w:szCs w:val="22"/>
        </w:rPr>
        <w:t>Fotocasa Group</w:t>
      </w:r>
      <w:r>
        <w:rPr>
          <w:rFonts w:ascii="Open Sans" w:eastAsia="Open Sans" w:hAnsi="Open Sans" w:cs="Open Sans"/>
          <w:sz w:val="22"/>
          <w:szCs w:val="22"/>
        </w:rPr>
        <w:t xml:space="preserve"> es un referente del sector inmobiliario en España, </w:t>
      </w:r>
      <w:r>
        <w:rPr>
          <w:rFonts w:ascii="Open Sans" w:eastAsia="Open Sans" w:hAnsi="Open Sans" w:cs="Open Sans"/>
          <w:b/>
          <w:bCs/>
          <w:sz w:val="22"/>
          <w:szCs w:val="22"/>
        </w:rPr>
        <w:t>con más de 25 años de experiencia</w:t>
      </w:r>
      <w:r>
        <w:rPr>
          <w:rFonts w:ascii="Open Sans" w:eastAsia="Open Sans" w:hAnsi="Open Sans" w:cs="Open Sans"/>
          <w:sz w:val="22"/>
          <w:szCs w:val="22"/>
        </w:rPr>
        <w:t> liderando la transformación del real estate a través de la innovación, los datos y la tecnología.</w:t>
      </w:r>
    </w:p>
    <w:p w14:paraId="118972B4" w14:textId="77777777" w:rsidR="000569D1" w:rsidRDefault="00000000">
      <w:pPr>
        <w:shd w:val="clear" w:color="auto" w:fill="FFFFFF"/>
        <w:spacing w:before="280" w:after="280" w:line="276" w:lineRule="auto"/>
        <w:ind w:right="-433"/>
        <w:jc w:val="both"/>
        <w:rPr>
          <w:rFonts w:ascii="Open Sans" w:eastAsia="Open Sans" w:hAnsi="Open Sans" w:cs="Open Sans"/>
          <w:sz w:val="22"/>
          <w:szCs w:val="22"/>
        </w:rPr>
      </w:pPr>
      <w:r>
        <w:rPr>
          <w:rFonts w:ascii="Open Sans" w:eastAsia="Open Sans" w:hAnsi="Open Sans" w:cs="Open Sans"/>
          <w:sz w:val="22"/>
          <w:szCs w:val="22"/>
        </w:rPr>
        <w:t>Bajo su marca paraguas, Fotocasa Group impulsa y da visibilidad a un ecosistema de marcas líderes —</w:t>
      </w:r>
      <w:hyperlink r:id="rId20">
        <w:r w:rsidR="000569D1">
          <w:rPr>
            <w:rFonts w:ascii="Open Sans" w:eastAsia="Open Sans" w:hAnsi="Open Sans" w:cs="Open Sans"/>
            <w:b/>
            <w:bCs/>
            <w:color w:val="0000FF"/>
            <w:sz w:val="22"/>
            <w:szCs w:val="22"/>
            <w:u w:val="single"/>
          </w:rPr>
          <w:t>Fotocasa</w:t>
        </w:r>
      </w:hyperlink>
      <w:r>
        <w:rPr>
          <w:rFonts w:ascii="Open Sans" w:eastAsia="Open Sans" w:hAnsi="Open Sans" w:cs="Open Sans"/>
          <w:sz w:val="22"/>
          <w:szCs w:val="22"/>
        </w:rPr>
        <w:t xml:space="preserve">, </w:t>
      </w:r>
      <w:hyperlink r:id="rId21">
        <w:r w:rsidR="000569D1">
          <w:rPr>
            <w:rFonts w:ascii="Open Sans" w:eastAsia="Open Sans" w:hAnsi="Open Sans" w:cs="Open Sans"/>
            <w:b/>
            <w:bCs/>
            <w:color w:val="0000FF"/>
            <w:sz w:val="22"/>
            <w:szCs w:val="22"/>
            <w:u w:val="single"/>
          </w:rPr>
          <w:t>habitaclia</w:t>
        </w:r>
      </w:hyperlink>
      <w:r>
        <w:rPr>
          <w:rFonts w:ascii="Open Sans" w:eastAsia="Open Sans" w:hAnsi="Open Sans" w:cs="Open Sans"/>
          <w:sz w:val="22"/>
          <w:szCs w:val="22"/>
        </w:rPr>
        <w:t xml:space="preserve">, </w:t>
      </w:r>
      <w:hyperlink r:id="rId22">
        <w:r w:rsidR="000569D1">
          <w:rPr>
            <w:rFonts w:ascii="Open Sans" w:eastAsia="Open Sans" w:hAnsi="Open Sans" w:cs="Open Sans"/>
            <w:b/>
            <w:bCs/>
            <w:color w:val="0000FF"/>
            <w:sz w:val="22"/>
            <w:szCs w:val="22"/>
            <w:u w:val="single"/>
          </w:rPr>
          <w:t>Fotocasa Pro</w:t>
        </w:r>
      </w:hyperlink>
      <w:r>
        <w:rPr>
          <w:rFonts w:ascii="Open Sans" w:eastAsia="Open Sans" w:hAnsi="Open Sans" w:cs="Open Sans"/>
          <w:sz w:val="22"/>
          <w:szCs w:val="22"/>
        </w:rPr>
        <w:t xml:space="preserve">, </w:t>
      </w:r>
      <w:hyperlink r:id="rId23">
        <w:r w:rsidR="000569D1">
          <w:rPr>
            <w:rFonts w:ascii="Open Sans" w:eastAsia="Open Sans" w:hAnsi="Open Sans" w:cs="Open Sans"/>
            <w:b/>
            <w:bCs/>
            <w:color w:val="0000FF"/>
            <w:sz w:val="22"/>
            <w:szCs w:val="22"/>
            <w:u w:val="single"/>
          </w:rPr>
          <w:t>Datavenues</w:t>
        </w:r>
      </w:hyperlink>
      <w:r>
        <w:rPr>
          <w:rFonts w:ascii="Open Sans" w:eastAsia="Open Sans" w:hAnsi="Open Sans" w:cs="Open Sans"/>
          <w:sz w:val="22"/>
          <w:szCs w:val="22"/>
        </w:rPr>
        <w:t xml:space="preserve">, </w:t>
      </w:r>
      <w:hyperlink r:id="rId24">
        <w:r w:rsidR="000569D1">
          <w:rPr>
            <w:rFonts w:ascii="Open Sans" w:eastAsia="Open Sans" w:hAnsi="Open Sans" w:cs="Open Sans"/>
            <w:b/>
            <w:bCs/>
            <w:color w:val="0000FF"/>
            <w:sz w:val="22"/>
            <w:szCs w:val="22"/>
            <w:u w:val="single"/>
          </w:rPr>
          <w:t>Witei</w:t>
        </w:r>
      </w:hyperlink>
      <w:r>
        <w:rPr>
          <w:rFonts w:ascii="Open Sans" w:eastAsia="Open Sans" w:hAnsi="Open Sans" w:cs="Open Sans"/>
          <w:sz w:val="22"/>
          <w:szCs w:val="22"/>
        </w:rPr>
        <w:t xml:space="preserve"> e </w:t>
      </w:r>
      <w:hyperlink r:id="rId25">
        <w:r w:rsidR="000569D1">
          <w:rPr>
            <w:rFonts w:ascii="Open Sans" w:eastAsia="Open Sans" w:hAnsi="Open Sans" w:cs="Open Sans"/>
            <w:b/>
            <w:bCs/>
            <w:color w:val="0000FF"/>
            <w:sz w:val="22"/>
            <w:szCs w:val="22"/>
          </w:rPr>
          <w:t>Inmoweb</w:t>
        </w:r>
      </w:hyperlink>
      <w:r>
        <w:rPr>
          <w:rFonts w:ascii="Open Sans" w:eastAsia="Open Sans" w:hAnsi="Open Sans" w:cs="Open Sans"/>
          <w:sz w:val="22"/>
          <w:szCs w:val="22"/>
        </w:rPr>
        <w:t xml:space="preserve">— que ofrecen soluciones integrales tanto </w:t>
      </w:r>
      <w:r>
        <w:rPr>
          <w:rFonts w:ascii="Open Sans" w:eastAsia="Open Sans" w:hAnsi="Open Sans" w:cs="Open Sans"/>
          <w:b/>
          <w:bCs/>
          <w:sz w:val="22"/>
          <w:szCs w:val="22"/>
        </w:rPr>
        <w:t>para particulares como para profesionales del sector</w:t>
      </w:r>
      <w:r>
        <w:rPr>
          <w:rFonts w:ascii="Open Sans" w:eastAsia="Open Sans" w:hAnsi="Open Sans" w:cs="Open Sans"/>
          <w:sz w:val="22"/>
          <w:szCs w:val="22"/>
        </w:rPr>
        <w:t>.</w:t>
      </w:r>
    </w:p>
    <w:p w14:paraId="61021FDB" w14:textId="77777777" w:rsidR="000569D1" w:rsidRDefault="00000000">
      <w:pPr>
        <w:shd w:val="clear" w:color="auto" w:fill="FFFFFF"/>
        <w:spacing w:before="280" w:after="280" w:line="276" w:lineRule="auto"/>
        <w:ind w:right="-433"/>
        <w:jc w:val="both"/>
        <w:rPr>
          <w:rFonts w:ascii="Open Sans" w:eastAsia="Open Sans" w:hAnsi="Open Sans" w:cs="Open Sans"/>
          <w:sz w:val="22"/>
          <w:szCs w:val="22"/>
        </w:rPr>
      </w:pPr>
      <w:r>
        <w:rPr>
          <w:rFonts w:ascii="Open Sans" w:eastAsia="Open Sans" w:hAnsi="Open Sans" w:cs="Open Sans"/>
          <w:b/>
          <w:bCs/>
          <w:sz w:val="22"/>
          <w:szCs w:val="22"/>
        </w:rPr>
        <w:t>Fotocasa</w:t>
      </w:r>
      <w:r>
        <w:rPr>
          <w:rFonts w:ascii="Open Sans" w:eastAsia="Open Sans" w:hAnsi="Open Sans" w:cs="Open Sans"/>
          <w:sz w:val="22"/>
          <w:szCs w:val="22"/>
        </w:rPr>
        <w:t>, la marca insignia del grupo, conecta cada día a </w:t>
      </w:r>
      <w:r>
        <w:rPr>
          <w:rFonts w:ascii="Open Sans" w:eastAsia="Open Sans" w:hAnsi="Open Sans" w:cs="Open Sans"/>
          <w:b/>
          <w:bCs/>
          <w:sz w:val="22"/>
          <w:szCs w:val="22"/>
        </w:rPr>
        <w:t>millones de personas con su próximo hogar</w:t>
      </w:r>
      <w:r>
        <w:rPr>
          <w:rFonts w:ascii="Open Sans" w:eastAsia="Open Sans" w:hAnsi="Open Sans" w:cs="Open Sans"/>
          <w:sz w:val="22"/>
          <w:szCs w:val="22"/>
        </w:rPr>
        <w:t>, ofreciendo la mayor oferta de viviendas de segunda mano, obra nueva, alquiler y compraventa, junto con análisis y contenidos que la consolidan como un auténtico </w:t>
      </w:r>
      <w:r>
        <w:rPr>
          <w:rFonts w:ascii="Open Sans" w:eastAsia="Open Sans" w:hAnsi="Open Sans" w:cs="Open Sans"/>
          <w:b/>
          <w:bCs/>
          <w:sz w:val="22"/>
          <w:szCs w:val="22"/>
        </w:rPr>
        <w:t>referente del mercado inmobiliario</w:t>
      </w:r>
      <w:r>
        <w:rPr>
          <w:rFonts w:ascii="Open Sans" w:eastAsia="Open Sans" w:hAnsi="Open Sans" w:cs="Open Sans"/>
          <w:sz w:val="22"/>
          <w:szCs w:val="22"/>
        </w:rPr>
        <w:t>.</w:t>
      </w:r>
    </w:p>
    <w:p w14:paraId="298D04CE" w14:textId="77777777" w:rsidR="000569D1" w:rsidRDefault="00000000">
      <w:pPr>
        <w:spacing w:line="276" w:lineRule="auto"/>
        <w:ind w:right="-433"/>
        <w:jc w:val="both"/>
        <w:rPr>
          <w:rFonts w:ascii="Open Sans" w:eastAsia="Open Sans" w:hAnsi="Open Sans" w:cs="Open Sans"/>
          <w:sz w:val="22"/>
          <w:szCs w:val="22"/>
        </w:rPr>
      </w:pPr>
      <w:r>
        <w:rPr>
          <w:rFonts w:ascii="Open Sans" w:eastAsia="Open Sans" w:hAnsi="Open Sans" w:cs="Open Sans"/>
          <w:b/>
          <w:bCs/>
          <w:sz w:val="22"/>
          <w:szCs w:val="22"/>
        </w:rPr>
        <w:t>Fotocasa Group forma parte de Scout24</w:t>
      </w:r>
      <w:r>
        <w:rPr>
          <w:rFonts w:ascii="Open Sans" w:eastAsia="Open Sans" w:hAnsi="Open Sans" w:cs="Open Sans"/>
          <w:sz w:val="22"/>
          <w:szCs w:val="22"/>
        </w:rPr>
        <w:t xml:space="preserve">, el grupo tecnológico alemán líder en Europa que opera </w:t>
      </w:r>
      <w:r>
        <w:rPr>
          <w:rFonts w:ascii="Open Sans" w:eastAsia="Open Sans" w:hAnsi="Open Sans" w:cs="Open Sans"/>
          <w:b/>
          <w:bCs/>
          <w:sz w:val="22"/>
          <w:szCs w:val="22"/>
        </w:rPr>
        <w:t>ImmoScout24</w:t>
      </w:r>
      <w:r>
        <w:rPr>
          <w:rFonts w:ascii="Open Sans" w:eastAsia="Open Sans" w:hAnsi="Open Sans" w:cs="Open Sans"/>
          <w:sz w:val="22"/>
          <w:szCs w:val="22"/>
        </w:rPr>
        <w:t xml:space="preserve">. </w:t>
      </w:r>
    </w:p>
    <w:p w14:paraId="21FE0A0F" w14:textId="77777777" w:rsidR="000569D1" w:rsidRDefault="000569D1">
      <w:pPr>
        <w:spacing w:line="276" w:lineRule="auto"/>
        <w:ind w:right="-433"/>
        <w:jc w:val="both"/>
        <w:rPr>
          <w:rFonts w:ascii="Open Sans" w:eastAsia="Open Sans" w:hAnsi="Open Sans" w:cs="Open Sans"/>
          <w:sz w:val="22"/>
          <w:szCs w:val="22"/>
        </w:rPr>
      </w:pPr>
    </w:p>
    <w:p w14:paraId="29D4B645" w14:textId="77777777" w:rsidR="000569D1" w:rsidRDefault="000569D1">
      <w:pPr>
        <w:spacing w:line="276" w:lineRule="auto"/>
        <w:ind w:right="-433"/>
        <w:jc w:val="right"/>
        <w:rPr>
          <w:rFonts w:ascii="Open Sans Light" w:eastAsia="Open Sans Light" w:hAnsi="Open Sans Light" w:cs="Open Sans Light"/>
          <w:b/>
          <w:bCs/>
          <w:color w:val="303AB2"/>
        </w:rPr>
      </w:pPr>
    </w:p>
    <w:p w14:paraId="60614038" w14:textId="77777777" w:rsidR="000569D1" w:rsidRDefault="00000000">
      <w:pPr>
        <w:spacing w:line="276" w:lineRule="auto"/>
        <w:ind w:right="-433"/>
        <w:jc w:val="right"/>
        <w:rPr>
          <w:rFonts w:ascii="Open Sans Light" w:eastAsia="Open Sans Light" w:hAnsi="Open Sans Light" w:cs="Open Sans Light"/>
          <w:b/>
          <w:bCs/>
          <w:color w:val="303AB2"/>
        </w:rPr>
      </w:pPr>
      <w:r>
        <w:rPr>
          <w:rFonts w:ascii="Open Sans Light" w:eastAsia="Open Sans Light" w:hAnsi="Open Sans Light" w:cs="Open Sans Light"/>
          <w:b/>
          <w:bCs/>
          <w:color w:val="303AB2"/>
        </w:rPr>
        <w:t>Sobre Scout24</w:t>
      </w:r>
    </w:p>
    <w:p w14:paraId="0DE9854E" w14:textId="77777777" w:rsidR="000569D1" w:rsidRDefault="000569D1">
      <w:pPr>
        <w:pBdr>
          <w:top w:val="nil"/>
          <w:left w:val="nil"/>
          <w:bottom w:val="nil"/>
          <w:right w:val="nil"/>
          <w:between w:val="nil"/>
        </w:pBdr>
        <w:spacing w:line="276" w:lineRule="auto"/>
        <w:ind w:right="-433"/>
        <w:jc w:val="both"/>
        <w:rPr>
          <w:rFonts w:ascii="Open Sans" w:eastAsia="Open Sans" w:hAnsi="Open Sans" w:cs="Open Sans"/>
          <w:sz w:val="22"/>
          <w:szCs w:val="22"/>
        </w:rPr>
      </w:pPr>
    </w:p>
    <w:p w14:paraId="52ABB676" w14:textId="77777777" w:rsidR="000569D1" w:rsidRDefault="00000000">
      <w:pPr>
        <w:pBdr>
          <w:top w:val="nil"/>
          <w:left w:val="nil"/>
          <w:bottom w:val="nil"/>
          <w:right w:val="nil"/>
          <w:between w:val="nil"/>
        </w:pBdr>
        <w:spacing w:line="276" w:lineRule="auto"/>
        <w:ind w:right="-433"/>
        <w:jc w:val="both"/>
        <w:rPr>
          <w:rFonts w:ascii="Open Sans" w:eastAsia="Open Sans" w:hAnsi="Open Sans" w:cs="Open Sans"/>
          <w:sz w:val="22"/>
          <w:szCs w:val="22"/>
        </w:rPr>
      </w:pPr>
      <w:r>
        <w:rPr>
          <w:rFonts w:ascii="Open Sans" w:eastAsia="Open Sans" w:hAnsi="Open Sans" w:cs="Open Sans"/>
          <w:b/>
          <w:bCs/>
          <w:sz w:val="22"/>
          <w:szCs w:val="22"/>
        </w:rPr>
        <w:t>Scout24 es una de las empresas tecnológicas líderes en Alemania</w:t>
      </w:r>
      <w:r>
        <w:rPr>
          <w:rFonts w:ascii="Open Sans" w:eastAsia="Open Sans" w:hAnsi="Open Sans" w:cs="Open Sans"/>
          <w:sz w:val="22"/>
          <w:szCs w:val="22"/>
        </w:rPr>
        <w:t xml:space="preserve">. Con el marketplace </w:t>
      </w:r>
      <w:hyperlink r:id="rId26">
        <w:r w:rsidR="000569D1">
          <w:rPr>
            <w:rFonts w:ascii="Open Sans" w:eastAsia="Open Sans" w:hAnsi="Open Sans" w:cs="Open Sans"/>
            <w:color w:val="0000FF"/>
            <w:sz w:val="22"/>
            <w:szCs w:val="22"/>
            <w:u w:val="single"/>
          </w:rPr>
          <w:t>ImmoScout24</w:t>
        </w:r>
      </w:hyperlink>
      <w:r>
        <w:rPr>
          <w:rFonts w:ascii="Open Sans" w:eastAsia="Open Sans" w:hAnsi="Open Sans" w:cs="Open Sans"/>
          <w:sz w:val="22"/>
          <w:szCs w:val="22"/>
        </w:rPr>
        <w:t xml:space="preserve">, especializado en el sector residencial y comercial, conectamos con éxito a propietarios, agentes inmobiliarios, inquilinos y compradores desde hace más de 25 años. </w:t>
      </w:r>
    </w:p>
    <w:p w14:paraId="20839E64" w14:textId="77777777" w:rsidR="000569D1" w:rsidRDefault="000569D1">
      <w:pPr>
        <w:pBdr>
          <w:top w:val="nil"/>
          <w:left w:val="nil"/>
          <w:bottom w:val="nil"/>
          <w:right w:val="nil"/>
          <w:between w:val="nil"/>
        </w:pBdr>
        <w:spacing w:line="276" w:lineRule="auto"/>
        <w:ind w:right="-433"/>
        <w:jc w:val="both"/>
        <w:rPr>
          <w:rFonts w:ascii="Open Sans" w:eastAsia="Open Sans" w:hAnsi="Open Sans" w:cs="Open Sans"/>
          <w:sz w:val="22"/>
          <w:szCs w:val="22"/>
        </w:rPr>
      </w:pPr>
    </w:p>
    <w:p w14:paraId="74602DC7" w14:textId="77777777" w:rsidR="000569D1" w:rsidRDefault="00000000">
      <w:pPr>
        <w:pBdr>
          <w:top w:val="nil"/>
          <w:left w:val="nil"/>
          <w:bottom w:val="nil"/>
          <w:right w:val="nil"/>
          <w:between w:val="nil"/>
        </w:pBdr>
        <w:spacing w:line="276" w:lineRule="auto"/>
        <w:ind w:right="-433"/>
        <w:jc w:val="both"/>
        <w:rPr>
          <w:rFonts w:ascii="Open Sans" w:eastAsia="Open Sans" w:hAnsi="Open Sans" w:cs="Open Sans"/>
          <w:sz w:val="22"/>
          <w:szCs w:val="22"/>
        </w:rPr>
      </w:pPr>
      <w:r>
        <w:rPr>
          <w:rFonts w:ascii="Open Sans" w:eastAsia="Open Sans" w:hAnsi="Open Sans" w:cs="Open Sans"/>
          <w:sz w:val="22"/>
          <w:szCs w:val="22"/>
        </w:rPr>
        <w:t xml:space="preserve">Con aproximadamente 19 millones de usuarios al mes en su web o aplicación, </w:t>
      </w:r>
      <w:r>
        <w:rPr>
          <w:rFonts w:ascii="Open Sans" w:eastAsia="Open Sans" w:hAnsi="Open Sans" w:cs="Open Sans"/>
          <w:b/>
          <w:bCs/>
          <w:sz w:val="22"/>
          <w:szCs w:val="22"/>
        </w:rPr>
        <w:t>ImmoScout24 es el líder del mercado en listados y búsqueda inmobiliaria digital</w:t>
      </w:r>
      <w:r>
        <w:rPr>
          <w:rFonts w:ascii="Open Sans" w:eastAsia="Open Sans" w:hAnsi="Open Sans" w:cs="Open Sans"/>
          <w:sz w:val="22"/>
          <w:szCs w:val="22"/>
        </w:rPr>
        <w:t>. Para digitalizar el proceso de las transacciones inmobiliarias, ImmoScout24 desarrolla continuamente nuevos productos y construye un ecosistema conectado y rico en datos para el alquiler, la compra y el sector inmobiliario comercial en Alemania y Austria. Scout24 es una sociedad anónima que cotiza en bolsa (ISIN: DE000A12DM80, Ticker: G24) y miembro del DAX, así como del DAX 50 ESG y el DAX 50 ESG+.</w:t>
      </w:r>
    </w:p>
    <w:p w14:paraId="28C92820" w14:textId="77777777" w:rsidR="000569D1" w:rsidRDefault="000569D1">
      <w:pPr>
        <w:spacing w:line="276" w:lineRule="auto"/>
        <w:ind w:right="-433"/>
        <w:rPr>
          <w:rFonts w:ascii="Open Sans" w:eastAsia="Open Sans" w:hAnsi="Open Sans" w:cs="Open Sans"/>
        </w:rPr>
      </w:pPr>
    </w:p>
    <w:p w14:paraId="48151EC7" w14:textId="77777777" w:rsidR="000569D1" w:rsidRDefault="000569D1">
      <w:pPr>
        <w:spacing w:line="276" w:lineRule="auto"/>
        <w:ind w:right="-433"/>
        <w:rPr>
          <w:rFonts w:ascii="Open Sans Light" w:eastAsia="Open Sans Light" w:hAnsi="Open Sans Light" w:cs="Open Sans Light"/>
          <w:b/>
          <w:bCs/>
          <w:color w:val="303AB2"/>
          <w:sz w:val="22"/>
          <w:szCs w:val="22"/>
        </w:rPr>
      </w:pPr>
    </w:p>
    <w:p w14:paraId="6D4A993F" w14:textId="77777777" w:rsidR="000569D1" w:rsidRDefault="00000000">
      <w:pPr>
        <w:spacing w:line="276" w:lineRule="auto"/>
        <w:ind w:right="-433"/>
        <w:rPr>
          <w:rFonts w:ascii="Open Sans Light" w:eastAsia="Open Sans Light" w:hAnsi="Open Sans Light" w:cs="Open Sans Light"/>
          <w:b/>
          <w:bCs/>
          <w:color w:val="303AB2"/>
          <w:sz w:val="22"/>
          <w:szCs w:val="22"/>
        </w:rPr>
      </w:pPr>
      <w:r>
        <w:rPr>
          <w:rFonts w:ascii="Open Sans Light" w:eastAsia="Open Sans Light" w:hAnsi="Open Sans Light" w:cs="Open Sans Light"/>
          <w:b/>
          <w:bCs/>
          <w:color w:val="303AB2"/>
          <w:sz w:val="22"/>
          <w:szCs w:val="22"/>
        </w:rPr>
        <w:t>Departamento Comunicación Fotocasa</w:t>
      </w:r>
    </w:p>
    <w:p w14:paraId="61E607BC" w14:textId="77777777" w:rsidR="000569D1" w:rsidRDefault="00000000">
      <w:pPr>
        <w:shd w:val="clear" w:color="auto" w:fill="FFFFFF"/>
        <w:spacing w:line="276" w:lineRule="auto"/>
        <w:ind w:right="-433"/>
        <w:rPr>
          <w:rFonts w:ascii="Open Sans" w:eastAsia="Open Sans" w:hAnsi="Open Sans" w:cs="Open Sans"/>
          <w:b/>
          <w:bCs/>
          <w:color w:val="000000"/>
          <w:sz w:val="22"/>
          <w:szCs w:val="22"/>
        </w:rPr>
      </w:pPr>
      <w:r>
        <w:rPr>
          <w:rFonts w:ascii="Open Sans" w:eastAsia="Open Sans" w:hAnsi="Open Sans" w:cs="Open Sans"/>
          <w:b/>
          <w:bCs/>
          <w:color w:val="000000"/>
          <w:sz w:val="22"/>
          <w:szCs w:val="22"/>
        </w:rPr>
        <w:t>Anaïs García</w:t>
      </w:r>
    </w:p>
    <w:p w14:paraId="50C3AF42" w14:textId="77777777" w:rsidR="000569D1" w:rsidRDefault="000569D1">
      <w:pPr>
        <w:shd w:val="clear" w:color="auto" w:fill="FFFFFF"/>
        <w:spacing w:line="276" w:lineRule="auto"/>
        <w:ind w:right="-433"/>
        <w:rPr>
          <w:rFonts w:ascii="Open Sans" w:eastAsia="Open Sans" w:hAnsi="Open Sans" w:cs="Open Sans"/>
          <w:color w:val="0000FF"/>
          <w:sz w:val="22"/>
          <w:szCs w:val="22"/>
          <w:u w:val="single"/>
        </w:rPr>
      </w:pPr>
      <w:hyperlink r:id="rId27">
        <w:r>
          <w:rPr>
            <w:rFonts w:ascii="Open Sans" w:eastAsia="Open Sans" w:hAnsi="Open Sans" w:cs="Open Sans"/>
            <w:color w:val="0000FF"/>
            <w:sz w:val="22"/>
            <w:szCs w:val="22"/>
            <w:u w:val="single"/>
          </w:rPr>
          <w:t>comunicacion@fotocasa.es</w:t>
        </w:r>
      </w:hyperlink>
    </w:p>
    <w:p w14:paraId="7E274965" w14:textId="77777777" w:rsidR="000569D1" w:rsidRDefault="00000000">
      <w:pPr>
        <w:shd w:val="clear" w:color="auto" w:fill="FFFFFF"/>
        <w:spacing w:line="276" w:lineRule="auto"/>
        <w:ind w:right="-433"/>
        <w:rPr>
          <w:rFonts w:ascii="Open Sans" w:eastAsia="Open Sans" w:hAnsi="Open Sans" w:cs="Open Sans"/>
          <w:color w:val="000000"/>
          <w:sz w:val="22"/>
          <w:szCs w:val="22"/>
        </w:rPr>
      </w:pPr>
      <w:r>
        <w:rPr>
          <w:rFonts w:ascii="Open Sans" w:eastAsia="Open Sans" w:hAnsi="Open Sans" w:cs="Open Sans"/>
          <w:color w:val="000000"/>
          <w:sz w:val="22"/>
          <w:szCs w:val="22"/>
        </w:rPr>
        <w:t>620 66 29 26</w:t>
      </w:r>
    </w:p>
    <w:p w14:paraId="4437A067" w14:textId="77777777" w:rsidR="000569D1" w:rsidRDefault="000569D1">
      <w:pPr>
        <w:spacing w:line="276" w:lineRule="auto"/>
        <w:ind w:right="-426"/>
        <w:jc w:val="right"/>
        <w:rPr>
          <w:rFonts w:ascii="Open Sans" w:eastAsia="Open Sans" w:hAnsi="Open Sans" w:cs="Open Sans"/>
          <w:color w:val="000000"/>
          <w:sz w:val="22"/>
          <w:szCs w:val="22"/>
        </w:rPr>
      </w:pPr>
    </w:p>
    <w:sectPr w:rsidR="000569D1">
      <w:footerReference w:type="default" r:id="rId28"/>
      <w:pgSz w:w="11900" w:h="16840"/>
      <w:pgMar w:top="1417" w:right="1694"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69136E" w14:textId="77777777" w:rsidR="003A045F" w:rsidRDefault="003A045F">
      <w:r>
        <w:separator/>
      </w:r>
    </w:p>
  </w:endnote>
  <w:endnote w:type="continuationSeparator" w:id="0">
    <w:p w14:paraId="485CA610" w14:textId="77777777" w:rsidR="003A045F" w:rsidRDefault="003A04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0AA996E5-AACA-4C3C-A16B-50D7B6ADA285}"/>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CAFE4C91-A7E2-4ED0-944C-1849892FEC42}"/>
    <w:embedBold r:id="rId3" w:fontKey="{D346FBF5-4B4D-4CCA-8BBB-F08CCFE46703}"/>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4" w:fontKey="{776662C4-ED35-482F-90E2-8E1010211229}"/>
  </w:font>
  <w:font w:name="National">
    <w:altName w:val="Calibri"/>
    <w:charset w:val="00"/>
    <w:family w:val="auto"/>
    <w:pitch w:val="default"/>
  </w:font>
  <w:font w:name="Open Sans">
    <w:charset w:val="00"/>
    <w:family w:val="swiss"/>
    <w:pitch w:val="variable"/>
    <w:sig w:usb0="E00002EF" w:usb1="4000205B" w:usb2="00000028" w:usb3="00000000" w:csb0="0000019F" w:csb1="00000000"/>
    <w:embedRegular r:id="rId5" w:fontKey="{D0187AA3-EEA6-483F-94C3-800A600A7A56}"/>
    <w:embedBold r:id="rId6" w:fontKey="{5F41F37E-2E8B-4D66-8F03-747916C4023A}"/>
  </w:font>
  <w:font w:name="Open Sans Light">
    <w:charset w:val="00"/>
    <w:family w:val="swiss"/>
    <w:pitch w:val="variable"/>
    <w:sig w:usb0="E00002EF" w:usb1="4000205B" w:usb2="00000028" w:usb3="00000000" w:csb0="0000019F" w:csb1="00000000"/>
    <w:embedBold r:id="rId7" w:fontKey="{AD672A5C-676E-43C9-A2AF-EC4C570D3754}"/>
  </w:font>
  <w:font w:name="Cambria">
    <w:panose1 w:val="02040503050406030204"/>
    <w:charset w:val="00"/>
    <w:family w:val="roman"/>
    <w:pitch w:val="variable"/>
    <w:sig w:usb0="E00006FF" w:usb1="420024FF" w:usb2="02000000" w:usb3="00000000" w:csb0="0000019F" w:csb1="00000000"/>
    <w:embedRegular r:id="rId8" w:fontKey="{6C736D0A-A545-4741-ABBA-E3ED84B3112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1901E" w14:textId="77777777" w:rsidR="000569D1" w:rsidRDefault="00000000">
    <w:pPr>
      <w:pBdr>
        <w:top w:val="nil"/>
        <w:left w:val="nil"/>
        <w:bottom w:val="nil"/>
        <w:right w:val="nil"/>
        <w:between w:val="nil"/>
      </w:pBdr>
      <w:tabs>
        <w:tab w:val="center" w:pos="4252"/>
        <w:tab w:val="right" w:pos="8504"/>
      </w:tabs>
      <w:rPr>
        <w:color w:val="000000"/>
      </w:rPr>
    </w:pPr>
    <w:r>
      <w:rPr>
        <w:noProof/>
      </w:rPr>
      <w:drawing>
        <wp:anchor distT="0" distB="0" distL="0" distR="0" simplePos="0" relativeHeight="251658240" behindDoc="1" locked="0" layoutInCell="1" hidden="0" allowOverlap="1" wp14:anchorId="7F3EABDC" wp14:editId="225413C1">
          <wp:simplePos x="0" y="0"/>
          <wp:positionH relativeFrom="column">
            <wp:posOffset>-1068069</wp:posOffset>
          </wp:positionH>
          <wp:positionV relativeFrom="paragraph">
            <wp:posOffset>174608</wp:posOffset>
          </wp:positionV>
          <wp:extent cx="7670550" cy="451315"/>
          <wp:effectExtent l="0" t="0" r="0" b="0"/>
          <wp:wrapNone/>
          <wp:docPr id="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7670550" cy="451315"/>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DF8509" w14:textId="77777777" w:rsidR="003A045F" w:rsidRDefault="003A045F">
      <w:r>
        <w:separator/>
      </w:r>
    </w:p>
  </w:footnote>
  <w:footnote w:type="continuationSeparator" w:id="0">
    <w:p w14:paraId="4BC5DB15" w14:textId="77777777" w:rsidR="003A045F" w:rsidRDefault="003A04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A77F9A"/>
    <w:multiLevelType w:val="multilevel"/>
    <w:tmpl w:val="0264EF2A"/>
    <w:lvl w:ilvl="0">
      <w:start w:val="1"/>
      <w:numFmt w:val="bullet"/>
      <w:lvlText w:val="●"/>
      <w:lvlJc w:val="left"/>
      <w:pPr>
        <w:ind w:left="720" w:hanging="360"/>
      </w:pPr>
      <w:rPr>
        <w:rFonts w:ascii="Noto Sans Symbols" w:eastAsia="Noto Sans Symbols" w:hAnsi="Noto Sans Symbols" w:cs="Noto Sans Symbols"/>
        <w:color w:val="303AB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0283612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69D1"/>
    <w:rsid w:val="00012D63"/>
    <w:rsid w:val="000569D1"/>
    <w:rsid w:val="000C0D6B"/>
    <w:rsid w:val="00393DA6"/>
    <w:rsid w:val="003A045F"/>
    <w:rsid w:val="00492403"/>
    <w:rsid w:val="006B0804"/>
    <w:rsid w:val="007847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277A9"/>
  <w15:docId w15:val="{A5212E8B-E0E3-4076-8056-4A1C410C2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a0">
    <w:basedOn w:val="TableNormal0"/>
    <w:tblPr>
      <w:tblStyleRowBandSize w:val="1"/>
      <w:tblStyleColBandSize w:val="1"/>
      <w:tblCellMar>
        <w:top w:w="0" w:type="dxa"/>
        <w:left w:w="115" w:type="dxa"/>
        <w:bottom w:w="0" w:type="dxa"/>
        <w:right w:w="115" w:type="dxa"/>
      </w:tblCellMar>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a1">
    <w:basedOn w:val="TableNormal0"/>
    <w:tblPr>
      <w:tblStyleRowBandSize w:val="1"/>
      <w:tblStyleColBandSize w:val="1"/>
      <w:tblCellMar>
        <w:top w:w="0" w:type="dxa"/>
        <w:left w:w="115" w:type="dxa"/>
        <w:bottom w:w="0" w:type="dxa"/>
        <w:right w:w="115" w:type="dxa"/>
      </w:tblCellMar>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a2">
    <w:basedOn w:val="TableNormal0"/>
    <w:tblPr>
      <w:tblStyleRowBandSize w:val="1"/>
      <w:tblStyleColBandSize w:val="1"/>
      <w:tblCellMar>
        <w:top w:w="0" w:type="dxa"/>
        <w:left w:w="115" w:type="dxa"/>
        <w:bottom w:w="0" w:type="dxa"/>
        <w:right w:w="115" w:type="dxa"/>
      </w:tblCellMar>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a3">
    <w:basedOn w:val="TableNormal0"/>
    <w:tblPr>
      <w:tblStyleRowBandSize w:val="1"/>
      <w:tblStyleColBandSize w:val="1"/>
      <w:tblCellMar>
        <w:top w:w="0" w:type="dxa"/>
        <w:left w:w="115" w:type="dxa"/>
        <w:bottom w:w="0" w:type="dxa"/>
        <w:right w:w="115" w:type="dxa"/>
      </w:tblCellMar>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a4">
    <w:basedOn w:val="TableNormal0"/>
    <w:tblPr>
      <w:tblStyleRowBandSize w:val="1"/>
      <w:tblStyleColBandSize w:val="1"/>
      <w:tblCellMar>
        <w:top w:w="0" w:type="dxa"/>
        <w:left w:w="115" w:type="dxa"/>
        <w:bottom w:w="0" w:type="dxa"/>
        <w:right w:w="115" w:type="dxa"/>
      </w:tblCellMar>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a5">
    <w:basedOn w:val="TableNormal0"/>
    <w:tblPr>
      <w:tblStyleRowBandSize w:val="1"/>
      <w:tblStyleColBandSize w:val="1"/>
      <w:tblCellMar>
        <w:top w:w="0" w:type="dxa"/>
        <w:left w:w="115" w:type="dxa"/>
        <w:bottom w:w="0" w:type="dxa"/>
        <w:right w:w="115" w:type="dxa"/>
      </w:tblCellMar>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a6">
    <w:basedOn w:val="TableNormal0"/>
    <w:tblPr>
      <w:tblStyleRowBandSize w:val="1"/>
      <w:tblStyleColBandSize w:val="1"/>
      <w:tblCellMar>
        <w:top w:w="0" w:type="dxa"/>
        <w:left w:w="115" w:type="dxa"/>
        <w:bottom w:w="0" w:type="dxa"/>
        <w:right w:w="115" w:type="dxa"/>
      </w:tblCellMar>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a7">
    <w:basedOn w:val="TableNormal0"/>
    <w:tblPr>
      <w:tblStyleRowBandSize w:val="1"/>
      <w:tblStyleColBandSize w:val="1"/>
      <w:tblCellMar>
        <w:top w:w="0" w:type="dxa"/>
        <w:left w:w="115" w:type="dxa"/>
        <w:bottom w:w="0" w:type="dxa"/>
        <w:right w:w="115" w:type="dxa"/>
      </w:tblCellMar>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youtu.be/P_cBEW8SZKE" TargetMode="External"/><Relationship Id="rId18" Type="http://schemas.openxmlformats.org/officeDocument/2006/relationships/hyperlink" Target="https://www.research.fotocasa.es" TargetMode="External"/><Relationship Id="rId26" Type="http://schemas.openxmlformats.org/officeDocument/2006/relationships/hyperlink" Target="https://www.immobilienscout24.de/" TargetMode="External"/><Relationship Id="rId3" Type="http://schemas.openxmlformats.org/officeDocument/2006/relationships/styles" Target="styles.xml"/><Relationship Id="rId21" Type="http://schemas.openxmlformats.org/officeDocument/2006/relationships/hyperlink" Target="https://www.habitaclia.com/" TargetMode="External"/><Relationship Id="rId7" Type="http://schemas.openxmlformats.org/officeDocument/2006/relationships/endnotes" Target="endnotes.xml"/><Relationship Id="rId12" Type="http://schemas.openxmlformats.org/officeDocument/2006/relationships/hyperlink" Target="https://www.fotocasa.es/es/" TargetMode="External"/><Relationship Id="rId17" Type="http://schemas.openxmlformats.org/officeDocument/2006/relationships/hyperlink" Target="https://www.fotocasa.es/indice/" TargetMode="External"/><Relationship Id="rId25" Type="http://schemas.openxmlformats.org/officeDocument/2006/relationships/hyperlink" Target="https://www.inmoweb.es/" TargetMode="External"/><Relationship Id="rId2" Type="http://schemas.openxmlformats.org/officeDocument/2006/relationships/numbering" Target="numbering.xml"/><Relationship Id="rId16" Type="http://schemas.openxmlformats.org/officeDocument/2006/relationships/hyperlink" Target="https://www.fotocasa.es" TargetMode="External"/><Relationship Id="rId20" Type="http://schemas.openxmlformats.org/officeDocument/2006/relationships/hyperlink" Target="https://www.fotocasa.es"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get.witei.com/en/" TargetMode="External"/><Relationship Id="rId5" Type="http://schemas.openxmlformats.org/officeDocument/2006/relationships/webSettings" Target="webSettings.xml"/><Relationship Id="rId15" Type="http://schemas.openxmlformats.org/officeDocument/2006/relationships/hyperlink" Target="https://www.fotocasa.es" TargetMode="External"/><Relationship Id="rId23" Type="http://schemas.openxmlformats.org/officeDocument/2006/relationships/hyperlink" Target="https://datavenues.com/" TargetMode="External"/><Relationship Id="rId28" Type="http://schemas.openxmlformats.org/officeDocument/2006/relationships/footer" Target="footer1.xml"/><Relationship Id="rId10" Type="http://schemas.openxmlformats.org/officeDocument/2006/relationships/hyperlink" Target="https://www.fotocasa.es" TargetMode="External"/><Relationship Id="rId19" Type="http://schemas.openxmlformats.org/officeDocument/2006/relationships/hyperlink" Target="http://prensa.fotocasa.es" TargetMode="External"/><Relationship Id="rId4" Type="http://schemas.openxmlformats.org/officeDocument/2006/relationships/settings" Target="settings.xml"/><Relationship Id="rId9" Type="http://schemas.openxmlformats.org/officeDocument/2006/relationships/hyperlink" Target="https://youtu.be/P_cBEW8SZKE" TargetMode="External"/><Relationship Id="rId14" Type="http://schemas.openxmlformats.org/officeDocument/2006/relationships/image" Target="media/image3.png"/><Relationship Id="rId22" Type="http://schemas.openxmlformats.org/officeDocument/2006/relationships/hyperlink" Target="https://profesionales.fotocasa.es/" TargetMode="External"/><Relationship Id="rId27" Type="http://schemas.openxmlformats.org/officeDocument/2006/relationships/hyperlink" Target="mailto:comunicacion@fotocasa.es" TargetMode="External"/><Relationship Id="rId30"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Yd2sYw00HdGpSnfHUqe7/cYmoA==">CgMxLjA4AHIhMTRHdTN0Q0JJRTlCdUhWbGdlOU5mcHhYbjNHLVV5bHJq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3378</Words>
  <Characters>19257</Characters>
  <Application>Microsoft Office Word</Application>
  <DocSecurity>0</DocSecurity>
  <Lines>160</Lines>
  <Paragraphs>45</Paragraphs>
  <ScaleCrop>false</ScaleCrop>
  <Company/>
  <LinksUpToDate>false</LinksUpToDate>
  <CharactersWithSpaces>22590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Anais Garcia Lopez</cp:lastModifiedBy>
  <cp:revision>4</cp:revision>
  <dcterms:created xsi:type="dcterms:W3CDTF">2026-07-27T21:52:00Z</dcterms:created>
  <dcterms:modified xsi:type="dcterms:W3CDTF">2026-07-27T22:03:00Z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2024-02-06T12:20:30Z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32155b42-5118-4e37-94f2-fef8b188b727</vt:lpwstr>
  </property>
  <property fmtid="{D5CDD505-2E9C-101B-9397-08002B2CF9AE}" pid="7" name="MSIP_Label_defa4170-0d19-0005-0004-bc88714345d2_ActionId">
    <vt:lpwstr>572215ff-0998-41f6-b2ff-fd247d42801c</vt:lpwstr>
  </property>
  <property fmtid="{D5CDD505-2E9C-101B-9397-08002B2CF9AE}" pid="8" name="MSIP_Label_defa4170-0d19-0005-0004-bc88714345d2_ContentBits">
    <vt:lpwstr>0</vt:lpwstr>
  </property>
</Properties>
</file>