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lineRule="auto"/>
        <w:ind w:right="-135"/>
        <w:jc w:val="center"/>
        <w:rPr>
          <w:rFonts w:ascii="Open Sans" w:cs="Open Sans" w:eastAsia="Open Sans" w:hAnsi="Open Sans"/>
          <w:b w:val="1"/>
          <w:bCs w:val="1"/>
          <w:color w:val="303ab2"/>
          <w:sz w:val="20"/>
          <w:szCs w:val="20"/>
        </w:rPr>
      </w:pPr>
      <w:r w:rsidDel="00000000" w:rsidR="00000000" w:rsidRPr="00000000">
        <w:rPr>
          <w:rFonts w:ascii="National" w:cs="National" w:eastAsia="National" w:hAnsi="National"/>
          <w:b w:val="1"/>
          <w:bCs w:val="1"/>
          <w:color w:val="303ab2"/>
          <w:sz w:val="50"/>
          <w:szCs w:val="50"/>
          <w:rtl w:val="0"/>
        </w:rPr>
        <w:t xml:space="preserve">“El mercado hipotecario aguanta en máximos, pero se prepara para una desaceleración por los tipos”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lineRule="auto"/>
        <w:ind w:right="-135"/>
        <w:jc w:val="center"/>
        <w:rPr>
          <w:rFonts w:ascii="Open Sans" w:cs="Open Sans" w:eastAsia="Open Sans" w:hAnsi="Open Sans"/>
          <w:b w:val="1"/>
          <w:bCs w:val="1"/>
          <w:color w:val="303ab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tabs>
          <w:tab w:val="left" w:leader="none" w:pos="142"/>
        </w:tabs>
        <w:spacing w:after="225" w:lineRule="auto"/>
        <w:jc w:val="both"/>
        <w:rPr>
          <w:rFonts w:ascii="Open Sans" w:cs="Open Sans" w:eastAsia="Open Sans" w:hAnsi="Open Sans"/>
          <w:b w:val="1"/>
          <w:bCs w:val="1"/>
          <w:color w:val="303ab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03ab2"/>
          <w:rtl w:val="0"/>
        </w:rPr>
        <w:t xml:space="preserve">Madrid, 28 de septiembre de 2026</w:t>
      </w:r>
    </w:p>
    <w:p w:rsidR="00000000" w:rsidDel="00000000" w:rsidP="00000000" w:rsidRDefault="00000000" w:rsidRPr="00000000" w14:paraId="00000005">
      <w:pPr>
        <w:shd w:fill="ffffff" w:val="clear"/>
        <w:tabs>
          <w:tab w:val="left" w:leader="none" w:pos="142"/>
        </w:tabs>
        <w:spacing w:after="225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Los datos de constitución de hipotecas sobre vivienda correspondientes al séptimo mes de 2026 publicados por el INE reflejan un descenso mensual del 5,5% y otro interanual del 3,5%, confirmando que el mercado hipotecario cambia de ciclo a pesar de su dinamismo.. “La actividad hipotecaria continúa mostrando fortaleza, pero comienza a situarse en un escenario financiero más exigente tras las últimas subidas de tipos del Banco Central Europeo.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El crédito sigue fluyendo y el volumen de concesiones continúa en niveles elevados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, impulsado por una demanda aún activa y por unas entidades financieras que siguen compitiendo por captar perfiles solventes. Sin embargo, el contexto ha cambiado y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las condiciones de financiación son hoy menos favorables, la inflación de la eurozona vuelve a situarse por encima del 3% y el mercado ya anticipa un nuevo incremento de tipos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 antes de que finalice el año. Por tanto,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estamos ante una fotografía que todavía no recoge plenamente el impacto del nuevo endurecimiento monetario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”, explica María Matos, directora de Estudios de </w:t>
      </w:r>
      <w:hyperlink r:id="rId7">
        <w:r w:rsidDel="00000000" w:rsidR="00000000" w:rsidRPr="00000000">
          <w:rPr>
            <w:rFonts w:ascii="Open Sans" w:cs="Open Sans" w:eastAsia="Open Sans" w:hAnsi="Open Sans"/>
            <w:color w:val="1155cc"/>
            <w:sz w:val="21"/>
            <w:szCs w:val="21"/>
            <w:u w:val="single"/>
            <w:rtl w:val="0"/>
          </w:rPr>
          <w:t xml:space="preserve">Fotocasa</w:t>
        </w:r>
      </w:hyperlink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142"/>
        </w:tabs>
        <w:spacing w:after="225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“En junio se firmaron 43.372 hipotecas sobre vivienda, una cifra que vuelve a superar ampliamente el umbral de las 40.000 operaciones mensuales y que refleja la fuerte actividad de la primera mitad del año.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En los siete primeros meses de 2026 se han formalizado 303.999 hipotecas, un 5,1% más que las 288.324 registradas en el mismo periodo de 2025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. Sin embargo, hay que tener en cuenta que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las hipotecas que se formalizan ahora corresponden, en muchos casos, a procesos de compra y financiación iniciados al menos dos meses antes.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 Por tanto, estos datos reflejan unas condiciones financieras anteriores y es probable que el efecto del nuevo escenario de tipos comience a apreciarse con mayor claridad en los próximos meses”, asegura María Matos, portavoz de </w:t>
      </w:r>
      <w:hyperlink r:id="rId8">
        <w:r w:rsidDel="00000000" w:rsidR="00000000" w:rsidRPr="00000000">
          <w:rPr>
            <w:rFonts w:ascii="Open Sans" w:cs="Open Sans" w:eastAsia="Open Sans" w:hAnsi="Open Sans"/>
            <w:color w:val="1155cc"/>
            <w:sz w:val="21"/>
            <w:szCs w:val="21"/>
            <w:u w:val="single"/>
            <w:rtl w:val="0"/>
          </w:rPr>
          <w:t xml:space="preserve">Fotocasa</w:t>
        </w:r>
      </w:hyperlink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142"/>
        </w:tabs>
        <w:spacing w:after="225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“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El mercado entra en una nueva fase del ciclo hipotecario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. Aunque el volumen de operaciones continúa siendo muy elevado, las condiciones de financiación ya comienzan a reflejar el endurecimiento de la política monetaria y la subida del Euríbor al 3%. El tipo de interés medio ya se sitúa en el 3,01%. El crédito sigue disponible, pero cada vez con mayor selección de los perfiles y unas condiciones algo menos favorables.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 Tras un largo periodo de intensa competencia comercial, la banca comienza a priorizar la rentabilidad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 frente al crecimiento del volumen de nuevas operaciones”, añade María Matos. </w:t>
      </w:r>
    </w:p>
    <w:p w:rsidR="00000000" w:rsidDel="00000000" w:rsidP="00000000" w:rsidRDefault="00000000" w:rsidRPr="00000000" w14:paraId="00000008">
      <w:pPr>
        <w:shd w:fill="ffffff" w:val="clear"/>
        <w:tabs>
          <w:tab w:val="left" w:leader="none" w:pos="142"/>
        </w:tabs>
        <w:spacing w:after="225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“Los datos de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Fotocasa Research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 permiten además dimensionar hasta qué punto la financiación continúa siendo fundamental para acceder a la propiedad.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 El 68% de quienes adquirieron una vivienda durante los primeros meses de 2026 necesitó contratar una hipoteca. El 54% de todos los compradores financió la adquisición exclusivamente a través de una entidad financiera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 y otro 15% tuvo que combinar la hipoteca con ayuda económica familiar. Estos datos muestran que hay una elevada dependencia del crédito para acceder a la vivienda”, comenta la directora de </w:t>
      </w:r>
      <w:hyperlink r:id="rId9">
        <w:r w:rsidDel="00000000" w:rsidR="00000000" w:rsidRPr="00000000">
          <w:rPr>
            <w:rFonts w:ascii="Open Sans" w:cs="Open Sans" w:eastAsia="Open Sans" w:hAnsi="Open Sans"/>
            <w:color w:val="1155cc"/>
            <w:sz w:val="21"/>
            <w:szCs w:val="21"/>
            <w:u w:val="single"/>
            <w:rtl w:val="0"/>
          </w:rPr>
          <w:t xml:space="preserve">Fotocasa Research</w:t>
        </w:r>
      </w:hyperlink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hd w:fill="ffffff" w:val="clear"/>
        <w:tabs>
          <w:tab w:val="left" w:leader="none" w:pos="142"/>
        </w:tabs>
        <w:spacing w:after="225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“Las hipotecas a tipo fijo seguirán siendo las más demandadas (representan actualmente el 62,3% de las firmas mensuales), ya que aportan estabilidad y protección frente a posibles episodios de volatilidad futura del Euríbor.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En un escenario de inflación persistente, tipos al alza y previsión de nuevo endurecimiento monetario, los compradores buscan cada vez más certidumbre sobre la cuota mensual que van a pagar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. Aunque las entidades financieras mantienen cierta competencia comercial, las ofertas comienzan a ser menos agresivas que durante los últimos meses, reflejando el nuevo contexto monetario. Igualmente, desde Fotocasa recomendamos a los consumidores comparar ofertas y fomentar la competencia entre entidades para conseguir unas cuotas hipotecarias ajustadas a su capacidad económica”, asegura la portavoz del portal.</w:t>
      </w:r>
    </w:p>
    <w:p w:rsidR="00000000" w:rsidDel="00000000" w:rsidP="00000000" w:rsidRDefault="00000000" w:rsidRPr="00000000" w14:paraId="0000000A">
      <w:pPr>
        <w:shd w:fill="ffffff" w:val="clear"/>
        <w:tabs>
          <w:tab w:val="left" w:leader="none" w:pos="142"/>
        </w:tabs>
        <w:spacing w:after="225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03ab2"/>
          <w:sz w:val="24"/>
          <w:szCs w:val="24"/>
          <w:rtl w:val="0"/>
        </w:rPr>
        <w:t xml:space="preserve">Cambio en el perfil del comprador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tabs>
          <w:tab w:val="left" w:leader="none" w:pos="142"/>
        </w:tabs>
        <w:spacing w:after="225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Este nuevo entorno comienza a trasladarse al comportamiento de la demanda. “Un contexto de financiación menos competitiva tiende a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seleccionar más al comprador, favoreciendo a aquellos perfiles con mayor solvencia y capacidad de ahorro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, mientras que dificulta el acceso a quienes dependen en mayor medida del crédito. Es  relevante la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caída de 5 puntos porcentuales del perfil del comprador inversor, que se sitúa en el 7%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 detectada en </w:t>
      </w:r>
      <w:hyperlink r:id="rId10">
        <w:r w:rsidDel="00000000" w:rsidR="00000000" w:rsidRPr="00000000">
          <w:rPr>
            <w:rFonts w:ascii="Open Sans" w:cs="Open Sans" w:eastAsia="Open Sans" w:hAnsi="Open Sans"/>
            <w:color w:val="1155cc"/>
            <w:sz w:val="21"/>
            <w:szCs w:val="21"/>
            <w:u w:val="single"/>
            <w:rtl w:val="0"/>
          </w:rPr>
          <w:t xml:space="preserve">Fotocasa Research</w:t>
        </w:r>
      </w:hyperlink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. Este ajuste refleja una menor rentabilidad percibida en un contexto de precios elevados y un encarecimiento progresivo del crédito, lo que reduce el atractivo de la inversión frente a otros momentos del ciclo”, añade.</w:t>
      </w:r>
    </w:p>
    <w:p w:rsidR="00000000" w:rsidDel="00000000" w:rsidP="00000000" w:rsidRDefault="00000000" w:rsidRPr="00000000" w14:paraId="0000000C">
      <w:pPr>
        <w:shd w:fill="ffffff" w:val="clear"/>
        <w:tabs>
          <w:tab w:val="left" w:leader="none" w:pos="142"/>
        </w:tabs>
        <w:spacing w:after="240" w:before="240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“A la vez, se observa un incremento de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compradores con alta solvencia económica, que necesitan menos financiación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 debido a su mayor poder adquisitivo. Por ello, en los próximos meses,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el porcentaje de compradores que opta por no solicitar hipoteca, actualmente en un 32%, se irá reduciendo. 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Además, detectamos un comprador mucho más pendiente de las condiciones financieras y de cuánto puede permitirse pagar, porque el gran condicionante continúa siendo el elevado precio de la vivienda y la dificultad para reunir el ahorro previo necesario para afrontar la operación”, explica la portavoz.</w:t>
      </w:r>
    </w:p>
    <w:p w:rsidR="00000000" w:rsidDel="00000000" w:rsidP="00000000" w:rsidRDefault="00000000" w:rsidRPr="00000000" w14:paraId="0000000D">
      <w:pPr>
        <w:shd w:fill="ffffff" w:val="clear"/>
        <w:spacing w:after="225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303ab2"/>
          <w:sz w:val="24"/>
          <w:szCs w:val="24"/>
          <w:rtl w:val="0"/>
        </w:rPr>
        <w:t xml:space="preserve">Previsiones de actividad para el segundo semestre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240" w:before="240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“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Los próximos datos serán especialmente importantes para medir el impacto del cambio monetario sobre el mercado hipotecario.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 Las operaciones que se están escriturando actualmente comenzaron a negociarse meses atrás y, por tanto, todavía incorporan las condiciones financieras anteriores. Será previsiblemente a partir de los próximos registros cuando podamos comprobar si la subida de tipos y del euríbor empieza a traducirse en una moderación más rotunda de las concesiones hipotecarias”, explica Matos.</w:t>
      </w:r>
    </w:p>
    <w:p w:rsidR="00000000" w:rsidDel="00000000" w:rsidP="00000000" w:rsidRDefault="00000000" w:rsidRPr="00000000" w14:paraId="0000000F">
      <w:pPr>
        <w:shd w:fill="ffffff" w:val="clear"/>
        <w:spacing w:after="240" w:before="240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“La evolución dependerá principalmente de las próximas decisiones del Banco Central Europeo. Si el BCE mantiene los tipos, el mercado podría encontrar cierto punto de estabilidad;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si opta por nuevos incrementos, el encarecimiento de las hipotecas podría intensificarse y acelerar la moderación de la demanda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. Así pues, la evolución de la inflación en la eurozona determinará los próximos movimientos”, asegura la directora de Estudios.</w:t>
      </w:r>
    </w:p>
    <w:p w:rsidR="00000000" w:rsidDel="00000000" w:rsidP="00000000" w:rsidRDefault="00000000" w:rsidRPr="00000000" w14:paraId="00000010">
      <w:pPr>
        <w:shd w:fill="ffffff" w:val="clear"/>
        <w:spacing w:after="240" w:before="240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“En cualquier caso, partimos de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un mercado hipotecario extraordinariamente dinámico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, por lo que una moderación en los próximos meses no debería interpretarse necesariamente como una señal de debilidad.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Después de un periodo de fuerte expansión, lo esperable es avanzar hacia una normalización de la actividad, con un comprador más prudente y unas entidades financieras más selectivas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”, indica la portavoz.</w:t>
      </w:r>
    </w:p>
    <w:p w:rsidR="00000000" w:rsidDel="00000000" w:rsidP="00000000" w:rsidRDefault="00000000" w:rsidRPr="00000000" w14:paraId="00000011">
      <w:pPr>
        <w:shd w:fill="ffffff" w:val="clear"/>
        <w:spacing w:after="240" w:before="240" w:lineRule="auto"/>
        <w:jc w:val="both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“Por tanto,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esperamos que el mercado hipotecario vaya perdiendo velocidad durante los próximos meses, a medida que las nuevas condiciones financieras se trasladen completamente a las operaciones</w:t>
      </w: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. La demanda continúa siendo elevada, pero tendrá que enfrentarse a unas condiciones de acceso a la vivienda más exigentes como los elevados precios y la falta de oferta”, concluye María Matos.</w:t>
      </w:r>
    </w:p>
    <w:p w:rsidR="00000000" w:rsidDel="00000000" w:rsidP="00000000" w:rsidRDefault="00000000" w:rsidRPr="00000000" w14:paraId="00000012">
      <w:pPr>
        <w:shd w:fill="ffffff" w:val="clear"/>
        <w:spacing w:after="280" w:before="280" w:lineRule="auto"/>
        <w:jc w:val="right"/>
        <w:rPr>
          <w:rFonts w:ascii="Open Sans Light" w:cs="Open Sans Light" w:eastAsia="Open Sans Light" w:hAnsi="Open Sans Light"/>
          <w:b w:val="1"/>
          <w:bCs w:val="1"/>
          <w:color w:val="303ab2"/>
          <w:sz w:val="24"/>
          <w:szCs w:val="24"/>
        </w:rPr>
      </w:pPr>
      <w:r w:rsidDel="00000000" w:rsidR="00000000" w:rsidRPr="00000000">
        <w:rPr>
          <w:rFonts w:ascii="Open Sans Light" w:cs="Open Sans Light" w:eastAsia="Open Sans Light" w:hAnsi="Open Sans Light"/>
          <w:b w:val="1"/>
          <w:bCs w:val="1"/>
          <w:color w:val="303ab2"/>
          <w:sz w:val="24"/>
          <w:szCs w:val="24"/>
          <w:rtl w:val="0"/>
        </w:rPr>
        <w:t xml:space="preserve">Departamento de Comunicación de Fotocasa</w:t>
      </w:r>
    </w:p>
    <w:p w:rsidR="00000000" w:rsidDel="00000000" w:rsidP="00000000" w:rsidRDefault="00000000" w:rsidRPr="00000000" w14:paraId="00000013">
      <w:pPr>
        <w:shd w:fill="ffffff" w:val="clear"/>
        <w:ind w:right="-7"/>
        <w:jc w:val="right"/>
        <w:rPr>
          <w:rFonts w:ascii="Open Sans" w:cs="Open Sans" w:eastAsia="Open Sans" w:hAnsi="Open Sans"/>
          <w:b w:val="1"/>
          <w:bCs w:val="1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1"/>
          <w:szCs w:val="21"/>
          <w:rtl w:val="0"/>
        </w:rPr>
        <w:t xml:space="preserve">Anaïs García</w:t>
      </w:r>
    </w:p>
    <w:p w:rsidR="00000000" w:rsidDel="00000000" w:rsidP="00000000" w:rsidRDefault="00000000" w:rsidRPr="00000000" w14:paraId="00000014">
      <w:pPr>
        <w:shd w:fill="ffffff" w:val="clear"/>
        <w:ind w:right="-7"/>
        <w:jc w:val="right"/>
        <w:rPr>
          <w:rFonts w:ascii="Open Sans" w:cs="Open Sans" w:eastAsia="Open Sans" w:hAnsi="Open Sans"/>
          <w:sz w:val="21"/>
          <w:szCs w:val="21"/>
        </w:rPr>
      </w:pPr>
      <w:r w:rsidDel="00000000" w:rsidR="00000000" w:rsidRPr="00000000">
        <w:rPr>
          <w:rFonts w:ascii="Open Sans" w:cs="Open Sans" w:eastAsia="Open Sans" w:hAnsi="Open Sans"/>
          <w:sz w:val="21"/>
          <w:szCs w:val="21"/>
          <w:rtl w:val="0"/>
        </w:rPr>
        <w:t xml:space="preserve">Móvil: 620 66 29 26</w:t>
      </w:r>
    </w:p>
    <w:p w:rsidR="00000000" w:rsidDel="00000000" w:rsidP="00000000" w:rsidRDefault="00000000" w:rsidRPr="00000000" w14:paraId="00000015">
      <w:pPr>
        <w:shd w:fill="ffffff" w:val="clear"/>
        <w:ind w:right="-7"/>
        <w:jc w:val="right"/>
        <w:rPr>
          <w:rFonts w:ascii="Open Sans" w:cs="Open Sans" w:eastAsia="Open Sans" w:hAnsi="Open Sans"/>
          <w:sz w:val="21"/>
          <w:szCs w:val="21"/>
        </w:rPr>
      </w:pPr>
      <w:hyperlink r:id="rId11">
        <w:r w:rsidDel="00000000" w:rsidR="00000000" w:rsidRPr="00000000">
          <w:rPr>
            <w:rFonts w:ascii="Open Sans" w:cs="Open Sans" w:eastAsia="Open Sans" w:hAnsi="Open Sans"/>
            <w:color w:val="0563c1"/>
            <w:sz w:val="21"/>
            <w:szCs w:val="21"/>
            <w:u w:val="single"/>
            <w:rtl w:val="0"/>
          </w:rPr>
          <w:t xml:space="preserve">comunicacion@fotocasa.es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ind w:right="-7"/>
        <w:jc w:val="right"/>
        <w:rPr>
          <w:rFonts w:ascii="Open Sans" w:cs="Open Sans" w:eastAsia="Open Sans" w:hAnsi="Open Sans"/>
          <w:sz w:val="21"/>
          <w:szCs w:val="21"/>
        </w:rPr>
      </w:pPr>
      <w:hyperlink r:id="rId12">
        <w:r w:rsidDel="00000000" w:rsidR="00000000" w:rsidRPr="00000000">
          <w:rPr>
            <w:rFonts w:ascii="Open Sans" w:cs="Open Sans" w:eastAsia="Open Sans" w:hAnsi="Open Sans"/>
            <w:color w:val="0563c1"/>
            <w:sz w:val="21"/>
            <w:szCs w:val="21"/>
            <w:u w:val="single"/>
            <w:rtl w:val="0"/>
          </w:rPr>
          <w:t xml:space="preserve">http://prensa.fotocasa.es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ational"/>
  <w:font w:name="Open Sans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-1916377</wp:posOffset>
          </wp:positionH>
          <wp:positionV relativeFrom="paragraph">
            <wp:posOffset>304800</wp:posOffset>
          </wp:positionV>
          <wp:extent cx="8620125" cy="447675"/>
          <wp:effectExtent b="0" l="0" r="0" t="0"/>
          <wp:wrapSquare wrapText="bothSides" distB="0" distT="0" distL="0" distR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-13043" r="617" t="0"/>
                  <a:stretch>
                    <a:fillRect/>
                  </a:stretch>
                </pic:blipFill>
                <pic:spPr>
                  <a:xfrm>
                    <a:off x="0" y="0"/>
                    <a:ext cx="8620125" cy="4476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-914385</wp:posOffset>
          </wp:positionH>
          <wp:positionV relativeFrom="paragraph">
            <wp:posOffset>-243186</wp:posOffset>
          </wp:positionV>
          <wp:extent cx="7711147" cy="1037167"/>
          <wp:effectExtent b="0" l="0" r="0" t="0"/>
          <wp:wrapSquare wrapText="bothSides" distB="0" distT="0" distL="0" distR="0"/>
          <wp:docPr descr="Patrón de fondo&#10;&#10;El contenido generado por IA puede ser incorrecto." id="5" name="image2.png"/>
          <a:graphic>
            <a:graphicData uri="http://schemas.openxmlformats.org/drawingml/2006/picture">
              <pic:pic>
                <pic:nvPicPr>
                  <pic:cNvPr descr="Patrón de fondo&#10;&#10;El contenido generado por IA puede ser incorrec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11147" cy="103716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comunicacion@fotocasa.es" TargetMode="External"/><Relationship Id="rId10" Type="http://schemas.openxmlformats.org/officeDocument/2006/relationships/hyperlink" Target="https://research.fotocasa.es/" TargetMode="External"/><Relationship Id="rId13" Type="http://schemas.openxmlformats.org/officeDocument/2006/relationships/header" Target="header1.xml"/><Relationship Id="rId12" Type="http://schemas.openxmlformats.org/officeDocument/2006/relationships/hyperlink" Target="http://prensa.fotocasa.e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research.fotocasa.es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fotocasa.es/es/" TargetMode="External"/><Relationship Id="rId8" Type="http://schemas.openxmlformats.org/officeDocument/2006/relationships/hyperlink" Target="https://www.fotocasa.es/e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Light-regular.ttf"/><Relationship Id="rId2" Type="http://schemas.openxmlformats.org/officeDocument/2006/relationships/font" Target="fonts/OpenSansLight-bold.ttf"/><Relationship Id="rId3" Type="http://schemas.openxmlformats.org/officeDocument/2006/relationships/font" Target="fonts/OpenSansLight-italic.ttf"/><Relationship Id="rId4" Type="http://schemas.openxmlformats.org/officeDocument/2006/relationships/font" Target="fonts/OpenSansLight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/vyZbK3M9sOKjanGv7crXxxj4Q==">CgMxLjA4AHIhMXpjdmN3eW15NE1CXzlRMzhHNXowYkdsR1NGN0RWWC1P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