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77777777" w:rsidR="007E411E" w:rsidRDefault="00000000">
      <w:pPr>
        <w:spacing w:line="360" w:lineRule="auto"/>
        <w:jc w:val="center"/>
        <w:rPr>
          <w:rFonts w:ascii="Albert Sans SemiBold" w:eastAsia="Albert Sans SemiBold" w:hAnsi="Albert Sans SemiBold" w:cs="Albert Sans SemiBold"/>
          <w:color w:val="0E1268"/>
          <w:sz w:val="34"/>
          <w:szCs w:val="34"/>
          <w:shd w:val="clear" w:color="auto" w:fill="87F6DC"/>
        </w:rPr>
      </w:pPr>
      <w:r>
        <w:rPr>
          <w:rFonts w:ascii="Albert Sans SemiBold" w:eastAsia="Albert Sans SemiBold" w:hAnsi="Albert Sans SemiBold" w:cs="Albert Sans SemiBold"/>
          <w:color w:val="0E1268"/>
          <w:sz w:val="34"/>
          <w:szCs w:val="34"/>
          <w:shd w:val="clear" w:color="auto" w:fill="87F6DC"/>
        </w:rPr>
        <w:t>EXPERIENCIA EN ALQUILER 2026</w:t>
      </w:r>
    </w:p>
    <w:p w14:paraId="3FD55C1A" w14:textId="612E6718" w:rsidR="00870EB7" w:rsidRPr="00755A62" w:rsidRDefault="00870EB7" w:rsidP="00755A62">
      <w:pPr>
        <w:pBdr>
          <w:top w:val="nil"/>
          <w:left w:val="nil"/>
          <w:bottom w:val="nil"/>
          <w:right w:val="nil"/>
          <w:between w:val="nil"/>
        </w:pBdr>
        <w:shd w:val="clear" w:color="auto" w:fill="FFFFFF"/>
        <w:spacing w:after="225" w:line="276" w:lineRule="auto"/>
        <w:ind w:right="-149"/>
        <w:jc w:val="center"/>
        <w:rPr>
          <w:rFonts w:ascii="Albert Sans" w:eastAsia="Albert Sans" w:hAnsi="Albert Sans" w:cs="Albert Sans"/>
          <w:b/>
          <w:bCs/>
          <w:color w:val="242DFF"/>
          <w:sz w:val="44"/>
          <w:szCs w:val="44"/>
        </w:rPr>
      </w:pPr>
      <w:bookmarkStart w:id="0" w:name="_heading=h.4c1eah2sq24a" w:colFirst="0" w:colLast="0"/>
      <w:bookmarkEnd w:id="0"/>
      <w:r w:rsidRPr="00755A62">
        <w:rPr>
          <w:rFonts w:ascii="Albert Sans" w:eastAsia="Albert Sans" w:hAnsi="Albert Sans" w:cs="Albert Sans"/>
          <w:b/>
          <w:bCs/>
          <w:color w:val="242DFF"/>
          <w:sz w:val="44"/>
          <w:szCs w:val="44"/>
        </w:rPr>
        <w:t>La distancia entre oferta y demanda crece: el 80% busca vivienda de alquiler, mientras solo el 16% ofrece un inmueble</w:t>
      </w:r>
    </w:p>
    <w:p w14:paraId="00000004" w14:textId="77777777" w:rsidR="007E411E" w:rsidRDefault="00000000">
      <w:pPr>
        <w:numPr>
          <w:ilvl w:val="0"/>
          <w:numId w:val="1"/>
        </w:numPr>
        <w:spacing w:line="276" w:lineRule="auto"/>
        <w:jc w:val="both"/>
        <w:rPr>
          <w:rFonts w:ascii="Albert Sans" w:eastAsia="Albert Sans" w:hAnsi="Albert Sans" w:cs="Albert Sans"/>
          <w:color w:val="0E1268"/>
        </w:rPr>
      </w:pPr>
      <w:r>
        <w:rPr>
          <w:rFonts w:ascii="Albert Sans" w:eastAsia="Albert Sans" w:hAnsi="Albert Sans" w:cs="Albert Sans"/>
          <w:color w:val="0E1268"/>
        </w:rPr>
        <w:t>La participación en el mercado del alquiler permanece en mínimos históricos durante el primer semestre de 2026</w:t>
      </w:r>
    </w:p>
    <w:p w14:paraId="049C642C" w14:textId="08B9D8DA" w:rsidR="00870EB7" w:rsidRDefault="00870EB7">
      <w:pPr>
        <w:numPr>
          <w:ilvl w:val="0"/>
          <w:numId w:val="1"/>
        </w:numPr>
        <w:spacing w:line="276" w:lineRule="auto"/>
        <w:jc w:val="both"/>
        <w:rPr>
          <w:rFonts w:ascii="Albert Sans" w:eastAsia="Albert Sans" w:hAnsi="Albert Sans" w:cs="Albert Sans"/>
          <w:color w:val="0E1268"/>
        </w:rPr>
      </w:pPr>
      <w:r w:rsidRPr="00870EB7">
        <w:rPr>
          <w:rFonts w:ascii="Albert Sans" w:eastAsia="Albert Sans" w:hAnsi="Albert Sans" w:cs="Albert Sans"/>
          <w:color w:val="0E1268"/>
        </w:rPr>
        <w:t>El alquiler prosigue su lenta agonía: la actividad se estanca en un 14% mientras la oferta sigue menguando</w:t>
      </w:r>
    </w:p>
    <w:p w14:paraId="00000006" w14:textId="77777777" w:rsidR="007E411E" w:rsidRDefault="00000000">
      <w:pPr>
        <w:numPr>
          <w:ilvl w:val="0"/>
          <w:numId w:val="1"/>
        </w:numPr>
        <w:spacing w:line="276" w:lineRule="auto"/>
        <w:jc w:val="both"/>
        <w:rPr>
          <w:rFonts w:ascii="Albert Sans" w:eastAsia="Albert Sans" w:hAnsi="Albert Sans" w:cs="Albert Sans"/>
          <w:color w:val="0E1268"/>
        </w:rPr>
      </w:pPr>
      <w:r>
        <w:rPr>
          <w:rFonts w:ascii="Albert Sans" w:eastAsia="Albert Sans" w:hAnsi="Albert Sans" w:cs="Albert Sans"/>
          <w:color w:val="0E1268"/>
        </w:rPr>
        <w:t>Entre quienes han participado en el alquiler durante los últimos doce meses, solo el 45% afirma haber conseguido finalmente una vivienda completa para residir en ella</w:t>
      </w:r>
    </w:p>
    <w:p w14:paraId="00000007" w14:textId="77777777" w:rsidR="007E411E" w:rsidRDefault="007E411E">
      <w:pPr>
        <w:spacing w:line="276" w:lineRule="auto"/>
        <w:ind w:left="720"/>
        <w:jc w:val="both"/>
        <w:rPr>
          <w:rFonts w:ascii="Albert Sans" w:eastAsia="Albert Sans" w:hAnsi="Albert Sans" w:cs="Albert Sans"/>
          <w:b/>
          <w:bCs/>
          <w:color w:val="303AB2"/>
        </w:rPr>
      </w:pPr>
    </w:p>
    <w:p w14:paraId="00000008" w14:textId="77777777" w:rsidR="007E411E" w:rsidRDefault="00000000">
      <w:pPr>
        <w:pBdr>
          <w:top w:val="nil"/>
          <w:left w:val="nil"/>
          <w:bottom w:val="nil"/>
          <w:right w:val="nil"/>
          <w:between w:val="nil"/>
        </w:pBdr>
        <w:shd w:val="clear" w:color="auto" w:fill="FFFFFF"/>
        <w:spacing w:after="225" w:line="276" w:lineRule="auto"/>
        <w:jc w:val="both"/>
        <w:rPr>
          <w:rFonts w:ascii="Albert Sans" w:eastAsia="Albert Sans" w:hAnsi="Albert Sans" w:cs="Albert Sans"/>
          <w:b/>
          <w:bCs/>
          <w:color w:val="0E1268"/>
          <w:sz w:val="22"/>
          <w:szCs w:val="22"/>
        </w:rPr>
      </w:pPr>
      <w:r>
        <w:rPr>
          <w:rFonts w:ascii="Albert Sans" w:eastAsia="Albert Sans" w:hAnsi="Albert Sans" w:cs="Albert Sans"/>
          <w:b/>
          <w:bCs/>
          <w:color w:val="0E1268"/>
        </w:rPr>
        <w:t>Madrid, 10 de septiembre de 2026</w:t>
      </w:r>
    </w:p>
    <w:p w14:paraId="00000009" w14:textId="513A68E0" w:rsidR="007E411E" w:rsidRDefault="00000000">
      <w:pPr>
        <w:spacing w:line="276" w:lineRule="auto"/>
        <w:jc w:val="both"/>
        <w:rPr>
          <w:rFonts w:ascii="Albert Sans" w:eastAsia="Albert Sans" w:hAnsi="Albert Sans" w:cs="Albert Sans"/>
        </w:rPr>
      </w:pPr>
      <w:r>
        <w:rPr>
          <w:rFonts w:ascii="Albert Sans" w:eastAsia="Albert Sans" w:hAnsi="Albert Sans" w:cs="Albert Sans"/>
        </w:rPr>
        <w:t xml:space="preserve">La actividad del mercado del alquiler continúa mostrando claros síntomas de agotamiento. Durante el primer semestre de 2026, el 14% de los particulares españoles mayores de 18 años ha realizado alguna acción relacionada con el arrendamiento de una vivienda, exactamente el mismo porcentaje registrado un año antes, cuando se fijó el mínimo histórico de actividad en este segmento. Este estancamiento contrasta con la evolución del conjunto del mercado inmobiliario, cuya participación aumenta hasta el 28%, dos puntos porcentuales más que en el primer semestre de 2025, gracias al impulso de la compraventa. La tendencia descendente iniciada en 2021 ha llevado al segmento del alquiler a situarse muy lejos del máximo alcanzado antes de la pandemia, cuando la participación llegaba al 21%. </w:t>
      </w:r>
      <w:r>
        <w:rPr>
          <w:rFonts w:ascii="Albert Sans" w:eastAsia="Albert Sans" w:hAnsi="Albert Sans" w:cs="Albert Sans"/>
          <w:b/>
          <w:bCs/>
        </w:rPr>
        <w:t xml:space="preserve">Estas son algunas de las principales conclusiones del informe </w:t>
      </w:r>
      <w:r w:rsidRPr="008E31DE">
        <w:rPr>
          <w:rFonts w:ascii="Albert Sans" w:eastAsia="Albert Sans" w:hAnsi="Albert Sans" w:cs="Albert Sans"/>
          <w:shd w:val="clear" w:color="auto" w:fill="B7CAFF"/>
        </w:rPr>
        <w:t>“</w:t>
      </w:r>
      <w:hyperlink r:id="rId8" w:history="1">
        <w:r w:rsidRPr="008E31DE">
          <w:rPr>
            <w:rStyle w:val="Hyperlink"/>
            <w:rFonts w:ascii="Albert Sans" w:eastAsia="Albert Sans" w:hAnsi="Albert Sans" w:cs="Albert Sans"/>
            <w:shd w:val="clear" w:color="auto" w:fill="B7CAFF"/>
          </w:rPr>
          <w:t>Experiencia en alquiler en 2026</w:t>
        </w:r>
      </w:hyperlink>
      <w:r w:rsidRPr="008E31DE">
        <w:rPr>
          <w:rFonts w:ascii="Albert Sans" w:eastAsia="Albert Sans" w:hAnsi="Albert Sans" w:cs="Albert Sans"/>
          <w:shd w:val="clear" w:color="auto" w:fill="B7CAFF"/>
        </w:rPr>
        <w:t>”</w:t>
      </w:r>
      <w:r>
        <w:rPr>
          <w:rFonts w:ascii="Albert Sans" w:eastAsia="Albert Sans" w:hAnsi="Albert Sans" w:cs="Albert Sans"/>
          <w:b/>
          <w:bCs/>
        </w:rPr>
        <w:t>, elaborado por</w:t>
      </w:r>
      <w:hyperlink r:id="rId9">
        <w:r w:rsidR="007E411E">
          <w:rPr>
            <w:rFonts w:ascii="Albert Sans" w:eastAsia="Albert Sans" w:hAnsi="Albert Sans" w:cs="Albert Sans"/>
            <w:b/>
            <w:bCs/>
          </w:rPr>
          <w:t xml:space="preserve"> </w:t>
        </w:r>
      </w:hyperlink>
      <w:hyperlink r:id="rId10">
        <w:r w:rsidR="007E411E">
          <w:rPr>
            <w:rFonts w:ascii="Albert Sans" w:eastAsia="Albert Sans" w:hAnsi="Albert Sans" w:cs="Albert Sans"/>
            <w:b/>
            <w:bCs/>
            <w:color w:val="0000FF"/>
            <w:u w:val="single"/>
          </w:rPr>
          <w:t>Fotocasa Research</w:t>
        </w:r>
      </w:hyperlink>
      <w:r>
        <w:rPr>
          <w:b/>
          <w:bCs/>
        </w:rPr>
        <w:t xml:space="preserve"> </w:t>
      </w:r>
      <w:r>
        <w:rPr>
          <w:rFonts w:ascii="Albert Sans" w:eastAsia="Albert Sans" w:hAnsi="Albert Sans" w:cs="Albert Sans"/>
          <w:b/>
          <w:bCs/>
        </w:rPr>
        <w:t>y que traza una exhaustiva radiografía del mercado de la vivienda en arrendamiento.</w:t>
      </w:r>
      <w:r>
        <w:rPr>
          <w:rFonts w:ascii="Albert Sans" w:eastAsia="Albert Sans" w:hAnsi="Albert Sans" w:cs="Albert Sans"/>
        </w:rPr>
        <w:t xml:space="preserve"> </w:t>
      </w:r>
    </w:p>
    <w:p w14:paraId="0000000A" w14:textId="77777777" w:rsidR="007E411E" w:rsidRDefault="007E411E">
      <w:pPr>
        <w:spacing w:line="276" w:lineRule="auto"/>
        <w:jc w:val="both"/>
        <w:rPr>
          <w:rFonts w:ascii="Albert Sans" w:eastAsia="Albert Sans" w:hAnsi="Albert Sans" w:cs="Albert Sans"/>
        </w:rPr>
      </w:pPr>
    </w:p>
    <w:p w14:paraId="0000000B" w14:textId="77777777" w:rsidR="007E411E" w:rsidRDefault="00000000">
      <w:pPr>
        <w:spacing w:line="276" w:lineRule="auto"/>
        <w:jc w:val="both"/>
        <w:rPr>
          <w:rFonts w:ascii="Albert Sans" w:eastAsia="Albert Sans" w:hAnsi="Albert Sans" w:cs="Albert Sans"/>
        </w:rPr>
      </w:pPr>
      <w:r>
        <w:rPr>
          <w:rFonts w:ascii="Albert Sans" w:eastAsia="Albert Sans" w:hAnsi="Albert Sans" w:cs="Albert Sans"/>
        </w:rPr>
        <w:t xml:space="preserve">"El mercado del alquiler ha dejado de crecer y ha entrado en una fase de estancamiento. Que la participación permanezca anclada en el mismo nivel que hace un año, el mínimo histórico de la serie, mientras el conjunto del mercado recupera dinamismo impulsado por la compraventa, confirma que el alquiler atraviesa un problema de fondo. Estamos ante un mercado bloqueado que, lejos de recuperar oferta, continúa reduciendo su tamaño y es incapaz </w:t>
      </w:r>
      <w:r>
        <w:rPr>
          <w:rFonts w:ascii="Albert Sans" w:eastAsia="Albert Sans" w:hAnsi="Albert Sans" w:cs="Albert Sans"/>
        </w:rPr>
        <w:lastRenderedPageBreak/>
        <w:t xml:space="preserve">de dar respuesta a una demanda que sigue siendo muy elevada. El alquiler ha alcanzado un punto crítico en el que no solo muchos hogares han tocado techo en su capacidad de pago, sino que la escasez de vivienda disponible ha convertido el acceso a una vivienda en alquiler en un desafío cada vez más inalcanzable para una parte creciente de la población”, </w:t>
      </w:r>
      <w:r>
        <w:rPr>
          <w:rFonts w:ascii="Albert Sans" w:eastAsia="Albert Sans" w:hAnsi="Albert Sans" w:cs="Albert Sans"/>
          <w:b/>
          <w:bCs/>
        </w:rPr>
        <w:t xml:space="preserve">explica María Matos, directora de Estudios y portavoz de </w:t>
      </w:r>
      <w:hyperlink r:id="rId11">
        <w:r w:rsidR="007E411E">
          <w:rPr>
            <w:rFonts w:ascii="Albert Sans" w:eastAsia="Albert Sans" w:hAnsi="Albert Sans" w:cs="Albert Sans"/>
            <w:b/>
            <w:bCs/>
            <w:color w:val="1155CC"/>
            <w:u w:val="single"/>
          </w:rPr>
          <w:t>Fotocasa</w:t>
        </w:r>
      </w:hyperlink>
      <w:r>
        <w:rPr>
          <w:rFonts w:ascii="Albert Sans" w:eastAsia="Albert Sans" w:hAnsi="Albert Sans" w:cs="Albert Sans"/>
        </w:rPr>
        <w:t>.</w:t>
      </w:r>
    </w:p>
    <w:p w14:paraId="0000000C" w14:textId="77777777" w:rsidR="007E411E" w:rsidRDefault="007E411E">
      <w:pPr>
        <w:spacing w:line="276" w:lineRule="auto"/>
        <w:jc w:val="both"/>
        <w:rPr>
          <w:rFonts w:ascii="Albert Sans" w:eastAsia="Albert Sans" w:hAnsi="Albert Sans" w:cs="Albert Sans"/>
        </w:rPr>
      </w:pPr>
    </w:p>
    <w:p w14:paraId="0000000D" w14:textId="77777777" w:rsidR="007E411E" w:rsidRDefault="00000000">
      <w:pPr>
        <w:spacing w:line="276" w:lineRule="auto"/>
        <w:jc w:val="both"/>
        <w:rPr>
          <w:rFonts w:ascii="Albert Sans" w:eastAsia="Albert Sans" w:hAnsi="Albert Sans" w:cs="Albert Sans"/>
        </w:rPr>
      </w:pPr>
      <w:r>
        <w:rPr>
          <w:noProof/>
        </w:rPr>
        <w:drawing>
          <wp:inline distT="0" distB="0" distL="0" distR="0" wp14:anchorId="5CC0CBA8" wp14:editId="6B51C92A">
            <wp:extent cx="5399730" cy="2628900"/>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5399730" cy="2628900"/>
                    </a:xfrm>
                    <a:prstGeom prst="rect">
                      <a:avLst/>
                    </a:prstGeom>
                    <a:ln/>
                  </pic:spPr>
                </pic:pic>
              </a:graphicData>
            </a:graphic>
          </wp:inline>
        </w:drawing>
      </w:r>
    </w:p>
    <w:p w14:paraId="0000000E" w14:textId="77777777" w:rsidR="007E411E" w:rsidRDefault="007E411E">
      <w:pPr>
        <w:spacing w:line="276" w:lineRule="auto"/>
        <w:jc w:val="both"/>
        <w:rPr>
          <w:rFonts w:ascii="Albert Sans" w:eastAsia="Albert Sans" w:hAnsi="Albert Sans" w:cs="Albert Sans"/>
        </w:rPr>
      </w:pPr>
    </w:p>
    <w:p w14:paraId="0000000F" w14:textId="77777777" w:rsidR="007E411E" w:rsidRDefault="00000000">
      <w:pPr>
        <w:spacing w:line="276" w:lineRule="auto"/>
        <w:jc w:val="both"/>
        <w:rPr>
          <w:rFonts w:ascii="Albert Sans" w:eastAsia="Albert Sans" w:hAnsi="Albert Sans" w:cs="Albert Sans"/>
        </w:rPr>
      </w:pPr>
      <w:r>
        <w:rPr>
          <w:rFonts w:ascii="Albert Sans" w:eastAsia="Albert Sans" w:hAnsi="Albert Sans" w:cs="Albert Sans"/>
          <w:b/>
          <w:bCs/>
          <w:color w:val="242DFF"/>
          <w:sz w:val="32"/>
          <w:szCs w:val="32"/>
        </w:rPr>
        <w:t>El alquiler se estabiliza en mínimos históricos</w:t>
      </w:r>
    </w:p>
    <w:p w14:paraId="00000010" w14:textId="77777777" w:rsidR="007E411E" w:rsidRDefault="007E411E">
      <w:pPr>
        <w:spacing w:line="276" w:lineRule="auto"/>
        <w:jc w:val="both"/>
        <w:rPr>
          <w:rFonts w:ascii="Albert Sans" w:eastAsia="Albert Sans" w:hAnsi="Albert Sans" w:cs="Albert Sans"/>
        </w:rPr>
      </w:pPr>
    </w:p>
    <w:p w14:paraId="00000011" w14:textId="77777777" w:rsidR="007E411E" w:rsidRDefault="00000000">
      <w:pPr>
        <w:spacing w:line="276" w:lineRule="auto"/>
        <w:jc w:val="both"/>
        <w:rPr>
          <w:rFonts w:ascii="Albert Sans" w:eastAsia="Albert Sans" w:hAnsi="Albert Sans" w:cs="Albert Sans"/>
        </w:rPr>
      </w:pPr>
      <w:r>
        <w:rPr>
          <w:rFonts w:ascii="Albert Sans" w:eastAsia="Albert Sans" w:hAnsi="Albert Sans" w:cs="Albert Sans"/>
        </w:rPr>
        <w:t xml:space="preserve">Asimismo, durante el primer semestre de 2026, ha aumentado ligeramente el peso del alquiler efectivo entre los particulares, pasando del 5% al 6%. En cambio, el alquiler inefectivo se mantiene en el 5%, aunque con una tendencia descendente. Mientras tanto, disminuye el porcentaje de quienes han conseguido alquilar una vivienda de su propiedad, que baja del 3% al 2%. </w:t>
      </w:r>
      <w:r>
        <w:rPr>
          <w:rFonts w:ascii="Albert Sans" w:eastAsia="Albert Sans" w:hAnsi="Albert Sans" w:cs="Albert Sans"/>
          <w:b/>
          <w:bCs/>
        </w:rPr>
        <w:t>Este equilibrio entre pequeñas subidas y descensos explica que el mercado permanezca inmóvil en términos de participación, consolidando el escenario de estancamiento observado desde hace varios ejercicios</w:t>
      </w:r>
      <w:r>
        <w:rPr>
          <w:rFonts w:ascii="Albert Sans" w:eastAsia="Albert Sans" w:hAnsi="Albert Sans" w:cs="Albert Sans"/>
        </w:rPr>
        <w:t>.</w:t>
      </w:r>
    </w:p>
    <w:p w14:paraId="00000012" w14:textId="77777777" w:rsidR="007E411E" w:rsidRDefault="007E411E">
      <w:pPr>
        <w:spacing w:line="276" w:lineRule="auto"/>
        <w:jc w:val="both"/>
        <w:rPr>
          <w:rFonts w:ascii="Albert Sans" w:eastAsia="Albert Sans" w:hAnsi="Albert Sans" w:cs="Albert Sans"/>
        </w:rPr>
      </w:pPr>
    </w:p>
    <w:p w14:paraId="00000013" w14:textId="77777777" w:rsidR="007E411E" w:rsidRDefault="00000000">
      <w:pPr>
        <w:spacing w:line="276" w:lineRule="auto"/>
        <w:jc w:val="both"/>
        <w:rPr>
          <w:rFonts w:ascii="Albert Sans" w:eastAsia="Albert Sans" w:hAnsi="Albert Sans" w:cs="Albert Sans"/>
        </w:rPr>
      </w:pPr>
      <w:r>
        <w:rPr>
          <w:rFonts w:ascii="Albert Sans" w:eastAsia="Albert Sans" w:hAnsi="Albert Sans" w:cs="Albert Sans"/>
        </w:rPr>
        <w:t xml:space="preserve">El análisis del comportamiento de los demandantes también refleja un mercado tensionado. </w:t>
      </w:r>
      <w:r>
        <w:rPr>
          <w:rFonts w:ascii="Albert Sans" w:eastAsia="Albert Sans" w:hAnsi="Albert Sans" w:cs="Albert Sans"/>
          <w:b/>
          <w:bCs/>
        </w:rPr>
        <w:t>Entre quienes han participado en el alquiler durante los últimos doce meses, el 45% afirma haber conseguido finalmente una vivienda para residir en ella, exactamente el mismo porcentaje registrado un año antes</w:t>
      </w:r>
      <w:r>
        <w:rPr>
          <w:rFonts w:ascii="Albert Sans" w:eastAsia="Albert Sans" w:hAnsi="Albert Sans" w:cs="Albert Sans"/>
        </w:rPr>
        <w:t xml:space="preserve">. Sin embargo, esta cifra continúa por debajo de los niveles alcanzados en ejercicios anteriores, cuando representaban el 47% en 2024 y el 51% en </w:t>
      </w:r>
      <w:r>
        <w:rPr>
          <w:rFonts w:ascii="Albert Sans" w:eastAsia="Albert Sans" w:hAnsi="Albert Sans" w:cs="Albert Sans"/>
        </w:rPr>
        <w:lastRenderedPageBreak/>
        <w:t>2023. En paralelo, el porcentaje de demandantes inefectivos desciende del 37% al 33%, recuperando los niveles registrados dos años antes y revirtiendo el incremento observado durante 2025. La situación es diferente en el mercado de habitaciones compartidas. Mientras el porcentaje de quienes han encontrado una habitación permanece estable en el 12%, aumenta significativamente el peso de quienes siguen buscándola sin éxito, una tasa que pasa del 7% al 10%.</w:t>
      </w:r>
    </w:p>
    <w:p w14:paraId="00000014" w14:textId="77777777" w:rsidR="007E411E" w:rsidRDefault="007E411E">
      <w:pPr>
        <w:spacing w:line="276" w:lineRule="auto"/>
        <w:jc w:val="both"/>
        <w:rPr>
          <w:rFonts w:ascii="Albert Sans" w:eastAsia="Albert Sans" w:hAnsi="Albert Sans" w:cs="Albert Sans"/>
        </w:rPr>
      </w:pPr>
    </w:p>
    <w:p w14:paraId="00000015" w14:textId="77777777" w:rsidR="007E411E" w:rsidRDefault="00000000">
      <w:pPr>
        <w:spacing w:line="276" w:lineRule="auto"/>
        <w:jc w:val="both"/>
        <w:rPr>
          <w:rFonts w:ascii="Albert Sans" w:eastAsia="Albert Sans" w:hAnsi="Albert Sans" w:cs="Albert Sans"/>
        </w:rPr>
      </w:pPr>
      <w:r>
        <w:rPr>
          <w:noProof/>
        </w:rPr>
        <w:drawing>
          <wp:inline distT="0" distB="0" distL="0" distR="0" wp14:anchorId="3B9F47FE" wp14:editId="6899BF4D">
            <wp:extent cx="5399730" cy="2044700"/>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3"/>
                    <a:srcRect/>
                    <a:stretch>
                      <a:fillRect/>
                    </a:stretch>
                  </pic:blipFill>
                  <pic:spPr>
                    <a:xfrm>
                      <a:off x="0" y="0"/>
                      <a:ext cx="5399730" cy="2044700"/>
                    </a:xfrm>
                    <a:prstGeom prst="rect">
                      <a:avLst/>
                    </a:prstGeom>
                    <a:ln/>
                  </pic:spPr>
                </pic:pic>
              </a:graphicData>
            </a:graphic>
          </wp:inline>
        </w:drawing>
      </w:r>
    </w:p>
    <w:p w14:paraId="00000016" w14:textId="77777777" w:rsidR="007E411E" w:rsidRDefault="007E411E">
      <w:pPr>
        <w:spacing w:line="276" w:lineRule="auto"/>
        <w:jc w:val="both"/>
        <w:rPr>
          <w:rFonts w:ascii="Albert Sans" w:eastAsia="Albert Sans" w:hAnsi="Albert Sans" w:cs="Albert Sans"/>
        </w:rPr>
      </w:pPr>
    </w:p>
    <w:p w14:paraId="00000017" w14:textId="77777777" w:rsidR="007E411E" w:rsidRDefault="00000000">
      <w:pPr>
        <w:spacing w:line="276" w:lineRule="auto"/>
        <w:jc w:val="both"/>
        <w:rPr>
          <w:rFonts w:ascii="Albert Sans" w:eastAsia="Albert Sans" w:hAnsi="Albert Sans" w:cs="Albert Sans"/>
        </w:rPr>
      </w:pPr>
      <w:r>
        <w:rPr>
          <w:rFonts w:ascii="Albert Sans" w:eastAsia="Albert Sans" w:hAnsi="Albert Sans" w:cs="Albert Sans"/>
          <w:b/>
          <w:bCs/>
          <w:color w:val="242DFF"/>
          <w:sz w:val="32"/>
          <w:szCs w:val="32"/>
        </w:rPr>
        <w:t>Crece la demanda y cae la oferta: la brecha del alquiler sigue ampliándose</w:t>
      </w:r>
    </w:p>
    <w:p w14:paraId="00000018" w14:textId="77777777" w:rsidR="007E411E" w:rsidRDefault="007E411E">
      <w:pPr>
        <w:spacing w:line="276" w:lineRule="auto"/>
        <w:jc w:val="both"/>
        <w:rPr>
          <w:rFonts w:ascii="Albert Sans" w:eastAsia="Albert Sans" w:hAnsi="Albert Sans" w:cs="Albert Sans"/>
        </w:rPr>
      </w:pPr>
    </w:p>
    <w:p w14:paraId="00000019" w14:textId="77777777" w:rsidR="007E411E" w:rsidRDefault="00000000">
      <w:pPr>
        <w:spacing w:line="276" w:lineRule="auto"/>
        <w:jc w:val="both"/>
        <w:rPr>
          <w:rFonts w:ascii="Albert Sans" w:eastAsia="Albert Sans" w:hAnsi="Albert Sans" w:cs="Albert Sans"/>
        </w:rPr>
      </w:pPr>
      <w:r>
        <w:rPr>
          <w:rFonts w:ascii="Albert Sans" w:eastAsia="Albert Sans" w:hAnsi="Albert Sans" w:cs="Albert Sans"/>
        </w:rPr>
        <w:t xml:space="preserve">El desequilibrio entre quienes buscan una vivienda en alquiler y quienes la ofrecen continúa intensificándose. </w:t>
      </w:r>
      <w:r>
        <w:rPr>
          <w:rFonts w:ascii="Albert Sans" w:eastAsia="Albert Sans" w:hAnsi="Albert Sans" w:cs="Albert Sans"/>
          <w:b/>
          <w:bCs/>
        </w:rPr>
        <w:t>Los últimos datos muestran que la brecha entre oferta y demanda no solo se mantiene, sino que vuelve a ampliarse durante el primer semestre de 2026</w:t>
      </w:r>
      <w:r>
        <w:rPr>
          <w:rFonts w:ascii="Albert Sans" w:eastAsia="Albert Sans" w:hAnsi="Albert Sans" w:cs="Albert Sans"/>
        </w:rPr>
        <w:t>. Actualmente, el 80% de los particulares que participan en el mercado del alquiler lo hacen como demandantes, dos puntos porcentuales más que el 78% registrado un año antes. En cambio, únicamente el 16% participan como ofertantes, una cifra que desciende de forma significativa respecto al 19% de 2025. Esta evolución aleja aún más al mercado del escenario previo a la pandemia. En el primer semestre de 2020, el 74% de los participantes actuaban desde el lado de la demanda, mientras que el 21% lo hacían desde la oferta. En paralelo, el porcentaje de particulares que participan simultáneamente como demandantes y ofertantes permanece estable en el 4%, el mismo nivel registrado el año anterior.</w:t>
      </w:r>
    </w:p>
    <w:p w14:paraId="0000001A" w14:textId="77777777" w:rsidR="007E411E" w:rsidRDefault="007E411E">
      <w:pPr>
        <w:spacing w:line="276" w:lineRule="auto"/>
        <w:jc w:val="both"/>
        <w:rPr>
          <w:rFonts w:ascii="Albert Sans" w:eastAsia="Albert Sans" w:hAnsi="Albert Sans" w:cs="Albert Sans"/>
        </w:rPr>
      </w:pPr>
    </w:p>
    <w:p w14:paraId="0000001B" w14:textId="77777777" w:rsidR="007E411E" w:rsidRDefault="00000000">
      <w:pPr>
        <w:spacing w:line="276" w:lineRule="auto"/>
        <w:jc w:val="both"/>
        <w:rPr>
          <w:rFonts w:ascii="Albert Sans" w:eastAsia="Albert Sans" w:hAnsi="Albert Sans" w:cs="Albert Sans"/>
        </w:rPr>
      </w:pPr>
      <w:r>
        <w:rPr>
          <w:rFonts w:ascii="Open Sans" w:eastAsia="Open Sans" w:hAnsi="Open Sans" w:cs="Open Sans"/>
          <w:noProof/>
        </w:rPr>
        <w:lastRenderedPageBreak/>
        <w:drawing>
          <wp:inline distT="0" distB="0" distL="0" distR="0" wp14:anchorId="6D4CD99E" wp14:editId="38456AC6">
            <wp:extent cx="5399730" cy="2286000"/>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4"/>
                    <a:srcRect/>
                    <a:stretch>
                      <a:fillRect/>
                    </a:stretch>
                  </pic:blipFill>
                  <pic:spPr>
                    <a:xfrm>
                      <a:off x="0" y="0"/>
                      <a:ext cx="5399730" cy="2286000"/>
                    </a:xfrm>
                    <a:prstGeom prst="rect">
                      <a:avLst/>
                    </a:prstGeom>
                    <a:ln/>
                  </pic:spPr>
                </pic:pic>
              </a:graphicData>
            </a:graphic>
          </wp:inline>
        </w:drawing>
      </w:r>
    </w:p>
    <w:p w14:paraId="0000001C" w14:textId="77777777" w:rsidR="007E411E" w:rsidRDefault="007E411E">
      <w:pPr>
        <w:spacing w:line="276" w:lineRule="auto"/>
        <w:jc w:val="both"/>
        <w:rPr>
          <w:rFonts w:ascii="Albert Sans" w:eastAsia="Albert Sans" w:hAnsi="Albert Sans" w:cs="Albert Sans"/>
        </w:rPr>
      </w:pPr>
    </w:p>
    <w:p w14:paraId="0000001D" w14:textId="77777777" w:rsidR="007E411E" w:rsidRDefault="007E411E">
      <w:pPr>
        <w:spacing w:line="276" w:lineRule="auto"/>
        <w:jc w:val="both"/>
        <w:rPr>
          <w:rFonts w:ascii="Albert Sans" w:eastAsia="Albert Sans" w:hAnsi="Albert Sans" w:cs="Albert Sans"/>
        </w:rPr>
      </w:pPr>
    </w:p>
    <w:p w14:paraId="0000001E" w14:textId="77777777" w:rsidR="007E411E" w:rsidRDefault="007E411E">
      <w:pPr>
        <w:spacing w:line="276" w:lineRule="auto"/>
        <w:jc w:val="both"/>
        <w:rPr>
          <w:rFonts w:ascii="Albert Sans" w:eastAsia="Albert Sans" w:hAnsi="Albert Sans" w:cs="Albert Sans"/>
        </w:rPr>
      </w:pPr>
    </w:p>
    <w:p w14:paraId="00000022" w14:textId="77777777" w:rsidR="007E411E" w:rsidRDefault="00000000">
      <w:pPr>
        <w:spacing w:line="276" w:lineRule="auto"/>
        <w:jc w:val="right"/>
        <w:rPr>
          <w:rFonts w:ascii="Albert Sans" w:eastAsia="Albert Sans" w:hAnsi="Albert Sans" w:cs="Albert Sans"/>
          <w:color w:val="242DFF"/>
        </w:rPr>
      </w:pPr>
      <w:r>
        <w:rPr>
          <w:rFonts w:ascii="Albert Sans" w:eastAsia="Albert Sans" w:hAnsi="Albert Sans" w:cs="Albert Sans"/>
          <w:color w:val="242DFF"/>
        </w:rPr>
        <w:t>Sobre Fotocasa</w:t>
      </w:r>
    </w:p>
    <w:p w14:paraId="00000023" w14:textId="77777777" w:rsidR="007E411E" w:rsidRDefault="00000000">
      <w:pPr>
        <w:shd w:val="clear" w:color="auto" w:fill="FFFFFF"/>
        <w:spacing w:before="280" w:after="280" w:line="276" w:lineRule="auto"/>
        <w:jc w:val="both"/>
        <w:rPr>
          <w:rFonts w:ascii="Albert Sans" w:eastAsia="Albert Sans" w:hAnsi="Albert Sans" w:cs="Albert Sans"/>
          <w:sz w:val="22"/>
          <w:szCs w:val="22"/>
        </w:rPr>
      </w:pPr>
      <w:r>
        <w:rPr>
          <w:rFonts w:ascii="Albert Sans" w:eastAsia="Albert Sans" w:hAnsi="Albert Sans" w:cs="Albert Sans"/>
          <w:sz w:val="22"/>
          <w:szCs w:val="22"/>
        </w:rPr>
        <w:t xml:space="preserve">Fotocasa es uno de los principales portales inmobiliarios de España, con una amplia oferta de viviendas de segunda mano, promociones de obra nueva y alquileres que pertenece a </w:t>
      </w:r>
      <w:r>
        <w:rPr>
          <w:rFonts w:ascii="Albert Sans" w:eastAsia="Albert Sans" w:hAnsi="Albert Sans" w:cs="Albert Sans"/>
          <w:b/>
          <w:bCs/>
          <w:sz w:val="22"/>
          <w:szCs w:val="22"/>
        </w:rPr>
        <w:t>Fotocasa Group</w:t>
      </w:r>
      <w:r>
        <w:rPr>
          <w:rFonts w:ascii="Albert Sans" w:eastAsia="Albert Sans" w:hAnsi="Albert Sans" w:cs="Albert Sans"/>
          <w:sz w:val="22"/>
          <w:szCs w:val="22"/>
        </w:rPr>
        <w:t xml:space="preserve">. </w:t>
      </w:r>
    </w:p>
    <w:p w14:paraId="00000024" w14:textId="77777777" w:rsidR="007E411E" w:rsidRDefault="00000000">
      <w:pPr>
        <w:shd w:val="clear" w:color="auto" w:fill="FFFFFF"/>
        <w:spacing w:before="280" w:after="280" w:line="276" w:lineRule="auto"/>
        <w:jc w:val="both"/>
        <w:rPr>
          <w:rFonts w:ascii="Albert Sans" w:eastAsia="Albert Sans" w:hAnsi="Albert Sans" w:cs="Albert Sans"/>
          <w:sz w:val="22"/>
          <w:szCs w:val="22"/>
        </w:rPr>
      </w:pPr>
      <w:r>
        <w:rPr>
          <w:rFonts w:ascii="Albert Sans" w:eastAsia="Albert Sans" w:hAnsi="Albert Sans" w:cs="Albert Sans"/>
          <w:sz w:val="22"/>
          <w:szCs w:val="22"/>
        </w:rPr>
        <w:t xml:space="preserve">Mensualmente, elabora el </w:t>
      </w:r>
      <w:hyperlink r:id="rId15">
        <w:r w:rsidR="007E411E">
          <w:rPr>
            <w:rFonts w:ascii="Albert Sans" w:eastAsia="Albert Sans" w:hAnsi="Albert Sans" w:cs="Albert Sans"/>
            <w:b/>
            <w:bCs/>
            <w:color w:val="242DFF"/>
            <w:sz w:val="22"/>
            <w:szCs w:val="22"/>
            <w:u w:val="single"/>
          </w:rPr>
          <w:t>Índice inmobiliario Fotocasa</w:t>
        </w:r>
      </w:hyperlink>
      <w:r>
        <w:rPr>
          <w:rFonts w:ascii="Albert Sans" w:eastAsia="Albert Sans" w:hAnsi="Albert Sans" w:cs="Albert Sans"/>
          <w:color w:val="242DFF"/>
          <w:sz w:val="22"/>
          <w:szCs w:val="22"/>
        </w:rPr>
        <w:t>,</w:t>
      </w:r>
      <w:r>
        <w:rPr>
          <w:rFonts w:ascii="Albert Sans" w:eastAsia="Albert Sans" w:hAnsi="Albert Sans" w:cs="Albert Sans"/>
          <w:sz w:val="22"/>
          <w:szCs w:val="22"/>
        </w:rPr>
        <w:t xml:space="preserve"> un informe de referencia que analiza la evolución del precio medio de la vivienda en España, tanto en venta como en alquiler. Desde 2017, desarrolla además estudios sociológicos bajo el sello </w:t>
      </w:r>
      <w:hyperlink r:id="rId16">
        <w:r w:rsidR="007E411E">
          <w:rPr>
            <w:rFonts w:ascii="Albert Sans" w:eastAsia="Albert Sans" w:hAnsi="Albert Sans" w:cs="Albert Sans"/>
            <w:b/>
            <w:bCs/>
            <w:color w:val="242DFF"/>
            <w:sz w:val="22"/>
            <w:szCs w:val="22"/>
            <w:u w:val="single"/>
          </w:rPr>
          <w:t>Fotocasa Research</w:t>
        </w:r>
      </w:hyperlink>
      <w:r>
        <w:rPr>
          <w:rFonts w:ascii="Albert Sans" w:eastAsia="Albert Sans" w:hAnsi="Albert Sans" w:cs="Albert Sans"/>
          <w:color w:val="242DFF"/>
          <w:sz w:val="22"/>
          <w:szCs w:val="22"/>
        </w:rPr>
        <w:t>,</w:t>
      </w:r>
      <w:r>
        <w:rPr>
          <w:rFonts w:ascii="Albert Sans" w:eastAsia="Albert Sans" w:hAnsi="Albert Sans" w:cs="Albert Sans"/>
          <w:sz w:val="22"/>
          <w:szCs w:val="22"/>
        </w:rPr>
        <w:t xml:space="preserve"> con el objetivo de aportar conocimiento y análisis en profundidad sobre las tendencias del mercado y el comportamiento de los ciudadanos en relación con la vivienda.</w:t>
      </w:r>
    </w:p>
    <w:p w14:paraId="00000025" w14:textId="77777777" w:rsidR="007E411E" w:rsidRDefault="00000000">
      <w:pPr>
        <w:shd w:val="clear" w:color="auto" w:fill="FFFFFF"/>
        <w:spacing w:before="280" w:after="280" w:line="276" w:lineRule="auto"/>
        <w:jc w:val="both"/>
        <w:rPr>
          <w:rFonts w:ascii="Albert Sans" w:eastAsia="Albert Sans" w:hAnsi="Albert Sans" w:cs="Albert Sans"/>
          <w:color w:val="242DFF"/>
          <w:sz w:val="22"/>
          <w:szCs w:val="22"/>
        </w:rPr>
      </w:pPr>
      <w:r>
        <w:rPr>
          <w:rFonts w:ascii="Albert Sans" w:eastAsia="Albert Sans" w:hAnsi="Albert Sans" w:cs="Albert Sans"/>
          <w:sz w:val="22"/>
          <w:szCs w:val="22"/>
        </w:rPr>
        <w:t>Toda la información y los últimos comunicados están disponibles en su</w:t>
      </w:r>
      <w:r>
        <w:rPr>
          <w:rFonts w:ascii="Albert Sans" w:eastAsia="Albert Sans" w:hAnsi="Albert Sans" w:cs="Albert Sans"/>
          <w:color w:val="242DFF"/>
          <w:sz w:val="22"/>
          <w:szCs w:val="22"/>
        </w:rPr>
        <w:t xml:space="preserve"> </w:t>
      </w:r>
      <w:hyperlink r:id="rId17">
        <w:r w:rsidR="007E411E">
          <w:rPr>
            <w:rFonts w:ascii="Albert Sans" w:eastAsia="Albert Sans" w:hAnsi="Albert Sans" w:cs="Albert Sans"/>
            <w:b/>
            <w:bCs/>
            <w:color w:val="242DFF"/>
            <w:sz w:val="22"/>
            <w:szCs w:val="22"/>
            <w:u w:val="single"/>
          </w:rPr>
          <w:t>Sala de Prensa</w:t>
        </w:r>
      </w:hyperlink>
    </w:p>
    <w:p w14:paraId="00000026" w14:textId="77777777" w:rsidR="007E411E" w:rsidRDefault="007E411E">
      <w:pPr>
        <w:spacing w:line="276" w:lineRule="auto"/>
        <w:rPr>
          <w:rFonts w:ascii="Albert Sans" w:eastAsia="Albert Sans" w:hAnsi="Albert Sans" w:cs="Albert Sans"/>
          <w:color w:val="303AB2"/>
        </w:rPr>
      </w:pPr>
    </w:p>
    <w:p w14:paraId="00000027" w14:textId="77777777" w:rsidR="007E411E" w:rsidRDefault="00000000">
      <w:pPr>
        <w:spacing w:line="276" w:lineRule="auto"/>
        <w:jc w:val="right"/>
        <w:rPr>
          <w:rFonts w:ascii="Albert Sans" w:eastAsia="Albert Sans" w:hAnsi="Albert Sans" w:cs="Albert Sans"/>
          <w:color w:val="242DFF"/>
        </w:rPr>
      </w:pPr>
      <w:r>
        <w:rPr>
          <w:rFonts w:ascii="Albert Sans" w:eastAsia="Albert Sans" w:hAnsi="Albert Sans" w:cs="Albert Sans"/>
          <w:color w:val="242DFF"/>
        </w:rPr>
        <w:t>Sobre Fotocasa Group</w:t>
      </w:r>
    </w:p>
    <w:p w14:paraId="00000028" w14:textId="77777777" w:rsidR="007E411E" w:rsidRDefault="00000000">
      <w:pPr>
        <w:shd w:val="clear" w:color="auto" w:fill="FFFFFF"/>
        <w:spacing w:before="280" w:after="280" w:line="276" w:lineRule="auto"/>
        <w:jc w:val="both"/>
        <w:rPr>
          <w:rFonts w:ascii="Albert Sans" w:eastAsia="Albert Sans" w:hAnsi="Albert Sans" w:cs="Albert Sans"/>
          <w:sz w:val="22"/>
          <w:szCs w:val="22"/>
        </w:rPr>
      </w:pPr>
      <w:r>
        <w:rPr>
          <w:rFonts w:ascii="Albert Sans" w:eastAsia="Albert Sans" w:hAnsi="Albert Sans" w:cs="Albert Sans"/>
          <w:b/>
          <w:bCs/>
          <w:sz w:val="22"/>
          <w:szCs w:val="22"/>
        </w:rPr>
        <w:t>Fotocasa Group</w:t>
      </w:r>
      <w:r>
        <w:rPr>
          <w:rFonts w:ascii="Albert Sans" w:eastAsia="Albert Sans" w:hAnsi="Albert Sans" w:cs="Albert Sans"/>
          <w:sz w:val="22"/>
          <w:szCs w:val="22"/>
        </w:rPr>
        <w:t xml:space="preserve"> es un referente del sector inmobiliario en España, </w:t>
      </w:r>
      <w:r>
        <w:rPr>
          <w:rFonts w:ascii="Albert Sans" w:eastAsia="Albert Sans" w:hAnsi="Albert Sans" w:cs="Albert Sans"/>
          <w:b/>
          <w:bCs/>
          <w:sz w:val="22"/>
          <w:szCs w:val="22"/>
        </w:rPr>
        <w:t>con más de 25 años de experiencia</w:t>
      </w:r>
      <w:r>
        <w:rPr>
          <w:rFonts w:ascii="Albert Sans" w:eastAsia="Albert Sans" w:hAnsi="Albert Sans" w:cs="Albert Sans"/>
          <w:sz w:val="22"/>
          <w:szCs w:val="22"/>
        </w:rPr>
        <w:t> liderando la transformación del real estate a través de la innovación, los datos y la tecnología.</w:t>
      </w:r>
    </w:p>
    <w:p w14:paraId="00000029" w14:textId="77777777" w:rsidR="007E411E" w:rsidRDefault="00000000">
      <w:pPr>
        <w:shd w:val="clear" w:color="auto" w:fill="FFFFFF"/>
        <w:spacing w:before="280" w:after="280" w:line="276" w:lineRule="auto"/>
        <w:jc w:val="both"/>
        <w:rPr>
          <w:rFonts w:ascii="Albert Sans" w:eastAsia="Albert Sans" w:hAnsi="Albert Sans" w:cs="Albert Sans"/>
          <w:sz w:val="22"/>
          <w:szCs w:val="22"/>
        </w:rPr>
      </w:pPr>
      <w:r>
        <w:rPr>
          <w:rFonts w:ascii="Albert Sans" w:eastAsia="Albert Sans" w:hAnsi="Albert Sans" w:cs="Albert Sans"/>
          <w:sz w:val="22"/>
          <w:szCs w:val="22"/>
        </w:rPr>
        <w:t>Bajo su marca paraguas, Fotocasa Group impulsa y da visibilidad a un ecosistema de marcas líderes —</w:t>
      </w:r>
      <w:hyperlink r:id="rId18">
        <w:r w:rsidR="007E411E">
          <w:rPr>
            <w:rFonts w:ascii="Albert Sans" w:eastAsia="Albert Sans" w:hAnsi="Albert Sans" w:cs="Albert Sans"/>
            <w:b/>
            <w:bCs/>
            <w:color w:val="242DFF"/>
            <w:sz w:val="22"/>
            <w:szCs w:val="22"/>
            <w:u w:val="single"/>
          </w:rPr>
          <w:t>Fotocasa</w:t>
        </w:r>
      </w:hyperlink>
      <w:r>
        <w:rPr>
          <w:rFonts w:ascii="Albert Sans" w:eastAsia="Albert Sans" w:hAnsi="Albert Sans" w:cs="Albert Sans"/>
          <w:color w:val="242DFF"/>
          <w:sz w:val="22"/>
          <w:szCs w:val="22"/>
        </w:rPr>
        <w:t xml:space="preserve">, </w:t>
      </w:r>
      <w:hyperlink r:id="rId19">
        <w:r w:rsidR="007E411E">
          <w:rPr>
            <w:rFonts w:ascii="Albert Sans" w:eastAsia="Albert Sans" w:hAnsi="Albert Sans" w:cs="Albert Sans"/>
            <w:b/>
            <w:bCs/>
            <w:color w:val="242DFF"/>
            <w:sz w:val="22"/>
            <w:szCs w:val="22"/>
            <w:u w:val="single"/>
          </w:rPr>
          <w:t>habitaclia</w:t>
        </w:r>
      </w:hyperlink>
      <w:r>
        <w:rPr>
          <w:rFonts w:ascii="Albert Sans" w:eastAsia="Albert Sans" w:hAnsi="Albert Sans" w:cs="Albert Sans"/>
          <w:color w:val="242DFF"/>
          <w:sz w:val="22"/>
          <w:szCs w:val="22"/>
        </w:rPr>
        <w:t xml:space="preserve">, </w:t>
      </w:r>
      <w:hyperlink r:id="rId20">
        <w:r w:rsidR="007E411E">
          <w:rPr>
            <w:rFonts w:ascii="Albert Sans" w:eastAsia="Albert Sans" w:hAnsi="Albert Sans" w:cs="Albert Sans"/>
            <w:b/>
            <w:bCs/>
            <w:color w:val="242DFF"/>
            <w:sz w:val="22"/>
            <w:szCs w:val="22"/>
            <w:u w:val="single"/>
          </w:rPr>
          <w:t>Fotocasa Pro</w:t>
        </w:r>
      </w:hyperlink>
      <w:r>
        <w:rPr>
          <w:rFonts w:ascii="Albert Sans" w:eastAsia="Albert Sans" w:hAnsi="Albert Sans" w:cs="Albert Sans"/>
          <w:color w:val="242DFF"/>
          <w:sz w:val="22"/>
          <w:szCs w:val="22"/>
        </w:rPr>
        <w:t xml:space="preserve">, </w:t>
      </w:r>
      <w:hyperlink r:id="rId21">
        <w:r w:rsidR="007E411E">
          <w:rPr>
            <w:rFonts w:ascii="Albert Sans" w:eastAsia="Albert Sans" w:hAnsi="Albert Sans" w:cs="Albert Sans"/>
            <w:b/>
            <w:bCs/>
            <w:color w:val="242DFF"/>
            <w:sz w:val="22"/>
            <w:szCs w:val="22"/>
            <w:u w:val="single"/>
          </w:rPr>
          <w:t>Datavenues</w:t>
        </w:r>
      </w:hyperlink>
      <w:r>
        <w:rPr>
          <w:rFonts w:ascii="Albert Sans" w:eastAsia="Albert Sans" w:hAnsi="Albert Sans" w:cs="Albert Sans"/>
          <w:color w:val="242DFF"/>
          <w:sz w:val="22"/>
          <w:szCs w:val="22"/>
        </w:rPr>
        <w:t xml:space="preserve">, </w:t>
      </w:r>
      <w:hyperlink r:id="rId22">
        <w:r w:rsidR="007E411E">
          <w:rPr>
            <w:rFonts w:ascii="Albert Sans" w:eastAsia="Albert Sans" w:hAnsi="Albert Sans" w:cs="Albert Sans"/>
            <w:b/>
            <w:bCs/>
            <w:color w:val="242DFF"/>
            <w:sz w:val="22"/>
            <w:szCs w:val="22"/>
            <w:u w:val="single"/>
          </w:rPr>
          <w:t>Witei</w:t>
        </w:r>
      </w:hyperlink>
      <w:r>
        <w:rPr>
          <w:rFonts w:ascii="Albert Sans" w:eastAsia="Albert Sans" w:hAnsi="Albert Sans" w:cs="Albert Sans"/>
          <w:color w:val="242DFF"/>
          <w:sz w:val="22"/>
          <w:szCs w:val="22"/>
        </w:rPr>
        <w:t xml:space="preserve"> e </w:t>
      </w:r>
      <w:hyperlink r:id="rId23">
        <w:r w:rsidR="007E411E">
          <w:rPr>
            <w:rFonts w:ascii="Albert Sans" w:eastAsia="Albert Sans" w:hAnsi="Albert Sans" w:cs="Albert Sans"/>
            <w:b/>
            <w:bCs/>
            <w:color w:val="242DFF"/>
            <w:sz w:val="22"/>
            <w:szCs w:val="22"/>
          </w:rPr>
          <w:t>Inmoweb</w:t>
        </w:r>
      </w:hyperlink>
      <w:r>
        <w:rPr>
          <w:rFonts w:ascii="Albert Sans" w:eastAsia="Albert Sans" w:hAnsi="Albert Sans" w:cs="Albert Sans"/>
          <w:sz w:val="22"/>
          <w:szCs w:val="22"/>
        </w:rPr>
        <w:t xml:space="preserve">— que ofrecen soluciones integrales tanto </w:t>
      </w:r>
      <w:r>
        <w:rPr>
          <w:rFonts w:ascii="Albert Sans" w:eastAsia="Albert Sans" w:hAnsi="Albert Sans" w:cs="Albert Sans"/>
          <w:b/>
          <w:bCs/>
          <w:sz w:val="22"/>
          <w:szCs w:val="22"/>
        </w:rPr>
        <w:t>para particulares como para profesionales del sector</w:t>
      </w:r>
      <w:r>
        <w:rPr>
          <w:rFonts w:ascii="Albert Sans" w:eastAsia="Albert Sans" w:hAnsi="Albert Sans" w:cs="Albert Sans"/>
          <w:sz w:val="22"/>
          <w:szCs w:val="22"/>
        </w:rPr>
        <w:t>.</w:t>
      </w:r>
    </w:p>
    <w:p w14:paraId="0000002A" w14:textId="77777777" w:rsidR="007E411E" w:rsidRDefault="00000000">
      <w:pPr>
        <w:shd w:val="clear" w:color="auto" w:fill="FFFFFF"/>
        <w:spacing w:before="280" w:after="280" w:line="276" w:lineRule="auto"/>
        <w:jc w:val="both"/>
        <w:rPr>
          <w:rFonts w:ascii="Albert Sans" w:eastAsia="Albert Sans" w:hAnsi="Albert Sans" w:cs="Albert Sans"/>
          <w:sz w:val="22"/>
          <w:szCs w:val="22"/>
        </w:rPr>
      </w:pPr>
      <w:r>
        <w:rPr>
          <w:rFonts w:ascii="Albert Sans" w:eastAsia="Albert Sans" w:hAnsi="Albert Sans" w:cs="Albert Sans"/>
          <w:b/>
          <w:bCs/>
          <w:sz w:val="22"/>
          <w:szCs w:val="22"/>
        </w:rPr>
        <w:lastRenderedPageBreak/>
        <w:t>Fotocasa</w:t>
      </w:r>
      <w:r>
        <w:rPr>
          <w:rFonts w:ascii="Albert Sans" w:eastAsia="Albert Sans" w:hAnsi="Albert Sans" w:cs="Albert Sans"/>
          <w:sz w:val="22"/>
          <w:szCs w:val="22"/>
        </w:rPr>
        <w:t>, la marca insignia del grupo, conecta cada día a </w:t>
      </w:r>
      <w:r>
        <w:rPr>
          <w:rFonts w:ascii="Albert Sans" w:eastAsia="Albert Sans" w:hAnsi="Albert Sans" w:cs="Albert Sans"/>
          <w:b/>
          <w:bCs/>
          <w:sz w:val="22"/>
          <w:szCs w:val="22"/>
        </w:rPr>
        <w:t>millones de personas con su próximo hogar</w:t>
      </w:r>
      <w:r>
        <w:rPr>
          <w:rFonts w:ascii="Albert Sans" w:eastAsia="Albert Sans" w:hAnsi="Albert Sans" w:cs="Albert Sans"/>
          <w:sz w:val="22"/>
          <w:szCs w:val="22"/>
        </w:rPr>
        <w:t>, ofreciendo la mayor oferta de viviendas de segunda mano, obra nueva, alquiler y compraventa, junto con análisis y contenidos que la consolidan como un auténtico </w:t>
      </w:r>
      <w:r>
        <w:rPr>
          <w:rFonts w:ascii="Albert Sans" w:eastAsia="Albert Sans" w:hAnsi="Albert Sans" w:cs="Albert Sans"/>
          <w:b/>
          <w:bCs/>
          <w:sz w:val="22"/>
          <w:szCs w:val="22"/>
        </w:rPr>
        <w:t>referente del mercado inmobiliario</w:t>
      </w:r>
      <w:r>
        <w:rPr>
          <w:rFonts w:ascii="Albert Sans" w:eastAsia="Albert Sans" w:hAnsi="Albert Sans" w:cs="Albert Sans"/>
          <w:sz w:val="22"/>
          <w:szCs w:val="22"/>
        </w:rPr>
        <w:t>.</w:t>
      </w:r>
    </w:p>
    <w:p w14:paraId="0000002B" w14:textId="77777777" w:rsidR="007E411E" w:rsidRDefault="00000000">
      <w:pPr>
        <w:spacing w:line="276" w:lineRule="auto"/>
        <w:jc w:val="both"/>
        <w:rPr>
          <w:rFonts w:ascii="Albert Sans" w:eastAsia="Albert Sans" w:hAnsi="Albert Sans" w:cs="Albert Sans"/>
          <w:sz w:val="22"/>
          <w:szCs w:val="22"/>
        </w:rPr>
      </w:pPr>
      <w:r>
        <w:rPr>
          <w:rFonts w:ascii="Albert Sans" w:eastAsia="Albert Sans" w:hAnsi="Albert Sans" w:cs="Albert Sans"/>
          <w:b/>
          <w:bCs/>
          <w:sz w:val="22"/>
          <w:szCs w:val="22"/>
        </w:rPr>
        <w:t>Fotocasa Group forma parte de Scout24</w:t>
      </w:r>
      <w:r>
        <w:rPr>
          <w:rFonts w:ascii="Albert Sans" w:eastAsia="Albert Sans" w:hAnsi="Albert Sans" w:cs="Albert Sans"/>
          <w:sz w:val="22"/>
          <w:szCs w:val="22"/>
        </w:rPr>
        <w:t xml:space="preserve">, el grupo tecnológico alemán líder en Europa que opera </w:t>
      </w:r>
      <w:r>
        <w:rPr>
          <w:rFonts w:ascii="Albert Sans" w:eastAsia="Albert Sans" w:hAnsi="Albert Sans" w:cs="Albert Sans"/>
          <w:b/>
          <w:bCs/>
          <w:sz w:val="22"/>
          <w:szCs w:val="22"/>
        </w:rPr>
        <w:t>ImmoScout24</w:t>
      </w:r>
      <w:r>
        <w:rPr>
          <w:rFonts w:ascii="Albert Sans" w:eastAsia="Albert Sans" w:hAnsi="Albert Sans" w:cs="Albert Sans"/>
          <w:sz w:val="22"/>
          <w:szCs w:val="22"/>
        </w:rPr>
        <w:t xml:space="preserve">. </w:t>
      </w:r>
    </w:p>
    <w:p w14:paraId="0000002C" w14:textId="77777777" w:rsidR="007E411E" w:rsidRDefault="007E411E">
      <w:pPr>
        <w:spacing w:line="276" w:lineRule="auto"/>
        <w:jc w:val="both"/>
        <w:rPr>
          <w:rFonts w:ascii="Albert Sans" w:eastAsia="Albert Sans" w:hAnsi="Albert Sans" w:cs="Albert Sans"/>
          <w:sz w:val="22"/>
          <w:szCs w:val="22"/>
        </w:rPr>
      </w:pPr>
    </w:p>
    <w:p w14:paraId="0000002D" w14:textId="77777777" w:rsidR="007E411E" w:rsidRDefault="00000000">
      <w:pPr>
        <w:spacing w:line="276" w:lineRule="auto"/>
        <w:jc w:val="right"/>
        <w:rPr>
          <w:rFonts w:ascii="Albert Sans" w:eastAsia="Albert Sans" w:hAnsi="Albert Sans" w:cs="Albert Sans"/>
          <w:color w:val="242DFF"/>
        </w:rPr>
      </w:pPr>
      <w:r>
        <w:rPr>
          <w:rFonts w:ascii="Albert Sans" w:eastAsia="Albert Sans" w:hAnsi="Albert Sans" w:cs="Albert Sans"/>
          <w:color w:val="242DFF"/>
        </w:rPr>
        <w:t>Sobre Scout24</w:t>
      </w:r>
    </w:p>
    <w:p w14:paraId="0000002E" w14:textId="77777777" w:rsidR="007E411E" w:rsidRDefault="007E411E">
      <w:pPr>
        <w:spacing w:line="276" w:lineRule="auto"/>
        <w:jc w:val="both"/>
        <w:rPr>
          <w:rFonts w:ascii="Albert Sans" w:eastAsia="Albert Sans" w:hAnsi="Albert Sans" w:cs="Albert Sans"/>
          <w:sz w:val="22"/>
          <w:szCs w:val="22"/>
        </w:rPr>
      </w:pPr>
    </w:p>
    <w:p w14:paraId="0000002F" w14:textId="77777777" w:rsidR="007E411E" w:rsidRDefault="00000000">
      <w:pPr>
        <w:spacing w:line="276" w:lineRule="auto"/>
        <w:jc w:val="both"/>
        <w:rPr>
          <w:rFonts w:ascii="Albert Sans" w:eastAsia="Albert Sans" w:hAnsi="Albert Sans" w:cs="Albert Sans"/>
          <w:sz w:val="22"/>
          <w:szCs w:val="22"/>
        </w:rPr>
      </w:pPr>
      <w:r>
        <w:rPr>
          <w:rFonts w:ascii="Albert Sans" w:eastAsia="Albert Sans" w:hAnsi="Albert Sans" w:cs="Albert Sans"/>
          <w:b/>
          <w:bCs/>
          <w:sz w:val="22"/>
          <w:szCs w:val="22"/>
        </w:rPr>
        <w:t>Scout24 es una de las empresas tecnológicas líderes en Alemania</w:t>
      </w:r>
      <w:r>
        <w:rPr>
          <w:rFonts w:ascii="Albert Sans" w:eastAsia="Albert Sans" w:hAnsi="Albert Sans" w:cs="Albert Sans"/>
          <w:sz w:val="22"/>
          <w:szCs w:val="22"/>
        </w:rPr>
        <w:t xml:space="preserve">. Con el marketplace </w:t>
      </w:r>
      <w:hyperlink r:id="rId24">
        <w:r w:rsidR="007E411E">
          <w:rPr>
            <w:rFonts w:ascii="Albert Sans" w:eastAsia="Albert Sans" w:hAnsi="Albert Sans" w:cs="Albert Sans"/>
            <w:color w:val="242DFF"/>
            <w:sz w:val="22"/>
            <w:szCs w:val="22"/>
            <w:u w:val="single"/>
          </w:rPr>
          <w:t>ImmoScout24</w:t>
        </w:r>
      </w:hyperlink>
      <w:r>
        <w:rPr>
          <w:rFonts w:ascii="Albert Sans" w:eastAsia="Albert Sans" w:hAnsi="Albert Sans" w:cs="Albert Sans"/>
          <w:sz w:val="22"/>
          <w:szCs w:val="22"/>
        </w:rPr>
        <w:t xml:space="preserve">, especializado en el sector residencial y comercial, conectamos con éxito a propietarios, agentes inmobiliarios, inquilinos y compradores desde hace más de 25 años. </w:t>
      </w:r>
    </w:p>
    <w:p w14:paraId="00000030" w14:textId="77777777" w:rsidR="007E411E" w:rsidRDefault="007E411E">
      <w:pPr>
        <w:spacing w:line="276" w:lineRule="auto"/>
        <w:jc w:val="both"/>
        <w:rPr>
          <w:rFonts w:ascii="Albert Sans" w:eastAsia="Albert Sans" w:hAnsi="Albert Sans" w:cs="Albert Sans"/>
          <w:sz w:val="22"/>
          <w:szCs w:val="22"/>
        </w:rPr>
      </w:pPr>
    </w:p>
    <w:p w14:paraId="00000031" w14:textId="77777777" w:rsidR="007E411E" w:rsidRDefault="00000000">
      <w:pPr>
        <w:spacing w:line="276" w:lineRule="auto"/>
        <w:jc w:val="both"/>
        <w:rPr>
          <w:rFonts w:ascii="Albert Sans" w:eastAsia="Albert Sans" w:hAnsi="Albert Sans" w:cs="Albert Sans"/>
          <w:sz w:val="22"/>
          <w:szCs w:val="22"/>
        </w:rPr>
      </w:pPr>
      <w:r>
        <w:rPr>
          <w:rFonts w:ascii="Albert Sans" w:eastAsia="Albert Sans" w:hAnsi="Albert Sans" w:cs="Albert Sans"/>
          <w:sz w:val="22"/>
          <w:szCs w:val="22"/>
        </w:rPr>
        <w:t xml:space="preserve">Con aproximadamente 19 millones de usuarios al mes en su web o aplicación, </w:t>
      </w:r>
      <w:r>
        <w:rPr>
          <w:rFonts w:ascii="Albert Sans" w:eastAsia="Albert Sans" w:hAnsi="Albert Sans" w:cs="Albert Sans"/>
          <w:b/>
          <w:bCs/>
          <w:sz w:val="22"/>
          <w:szCs w:val="22"/>
        </w:rPr>
        <w:t>ImmoScout24 es el líder del mercado en listados y búsqueda inmobiliaria digital</w:t>
      </w:r>
      <w:r>
        <w:rPr>
          <w:rFonts w:ascii="Albert Sans" w:eastAsia="Albert Sans" w:hAnsi="Albert Sans" w:cs="Albert Sans"/>
          <w:sz w:val="22"/>
          <w:szCs w:val="22"/>
        </w:rPr>
        <w:t>. Para digitalizar el proceso de las transacciones inmobiliarias, ImmoScout24 desarrolla continuamente nuevos productos y construye un ecosistema conectado y rico en datos para el alquiler, la compra y el sector inmobiliario comercial en Alemania y Austria. Scout24 es una sociedad anónima que cotiza en bolsa (ISIN: DE000A12DM80, Ticker: G24) y miembro del DAX, así como del DAX 50 ESG y el DAX 50 ESG+.</w:t>
      </w:r>
    </w:p>
    <w:p w14:paraId="00000032" w14:textId="77777777" w:rsidR="007E411E" w:rsidRDefault="007E411E">
      <w:pPr>
        <w:spacing w:line="276" w:lineRule="auto"/>
        <w:rPr>
          <w:rFonts w:ascii="Albert Sans" w:eastAsia="Albert Sans" w:hAnsi="Albert Sans" w:cs="Albert Sans"/>
        </w:rPr>
      </w:pPr>
    </w:p>
    <w:p w14:paraId="00000033" w14:textId="77777777" w:rsidR="007E411E" w:rsidRDefault="007E411E">
      <w:pPr>
        <w:shd w:val="clear" w:color="auto" w:fill="FFFFFF"/>
        <w:spacing w:before="280" w:after="280" w:line="276" w:lineRule="auto"/>
        <w:jc w:val="both"/>
        <w:rPr>
          <w:rFonts w:ascii="Albert Sans" w:eastAsia="Albert Sans" w:hAnsi="Albert Sans" w:cs="Albert Sans"/>
          <w:b/>
          <w:bCs/>
          <w:sz w:val="22"/>
          <w:szCs w:val="22"/>
        </w:rPr>
      </w:pPr>
    </w:p>
    <w:p w14:paraId="00000034" w14:textId="77777777" w:rsidR="007E411E" w:rsidRDefault="00000000">
      <w:pPr>
        <w:spacing w:line="276" w:lineRule="auto"/>
        <w:ind w:right="-142"/>
        <w:rPr>
          <w:rFonts w:ascii="Albert Sans" w:eastAsia="Albert Sans" w:hAnsi="Albert Sans" w:cs="Albert Sans"/>
          <w:color w:val="242DFF"/>
          <w:sz w:val="26"/>
          <w:szCs w:val="26"/>
        </w:rPr>
      </w:pPr>
      <w:r>
        <w:rPr>
          <w:rFonts w:ascii="Albert Sans" w:eastAsia="Albert Sans" w:hAnsi="Albert Sans" w:cs="Albert Sans"/>
          <w:color w:val="242DFF"/>
          <w:sz w:val="26"/>
          <w:szCs w:val="26"/>
        </w:rPr>
        <w:t>Departamento Comunicación Fotocasa</w:t>
      </w:r>
    </w:p>
    <w:p w14:paraId="00000035" w14:textId="77777777" w:rsidR="007E411E" w:rsidRDefault="00000000">
      <w:pPr>
        <w:spacing w:line="276" w:lineRule="auto"/>
        <w:ind w:right="-142"/>
        <w:rPr>
          <w:rFonts w:ascii="Albert Sans" w:eastAsia="Albert Sans" w:hAnsi="Albert Sans" w:cs="Albert Sans"/>
          <w:color w:val="303AB2"/>
          <w:sz w:val="26"/>
          <w:szCs w:val="26"/>
        </w:rPr>
      </w:pPr>
      <w:r>
        <w:rPr>
          <w:rFonts w:ascii="Albert Sans" w:eastAsia="Albert Sans" w:hAnsi="Albert Sans" w:cs="Albert Sans"/>
          <w:b/>
          <w:bCs/>
          <w:sz w:val="26"/>
          <w:szCs w:val="26"/>
        </w:rPr>
        <w:t xml:space="preserve">Anaïs García </w:t>
      </w:r>
    </w:p>
    <w:p w14:paraId="00000036" w14:textId="77777777" w:rsidR="007E411E" w:rsidRDefault="007E411E">
      <w:pPr>
        <w:shd w:val="clear" w:color="auto" w:fill="FFFFFF"/>
        <w:spacing w:line="276" w:lineRule="auto"/>
        <w:ind w:right="-142"/>
        <w:rPr>
          <w:rFonts w:ascii="Albert Sans" w:eastAsia="Albert Sans" w:hAnsi="Albert Sans" w:cs="Albert Sans"/>
          <w:color w:val="242DFF"/>
          <w:sz w:val="26"/>
          <w:szCs w:val="26"/>
          <w:u w:val="single"/>
        </w:rPr>
      </w:pPr>
      <w:hyperlink r:id="rId25">
        <w:r>
          <w:rPr>
            <w:rFonts w:ascii="Albert Sans" w:eastAsia="Albert Sans" w:hAnsi="Albert Sans" w:cs="Albert Sans"/>
            <w:color w:val="242DFF"/>
            <w:sz w:val="26"/>
            <w:szCs w:val="26"/>
            <w:u w:val="single"/>
          </w:rPr>
          <w:t>comunicacion@fotocasa.es</w:t>
        </w:r>
      </w:hyperlink>
    </w:p>
    <w:p w14:paraId="00000037" w14:textId="77777777" w:rsidR="007E411E" w:rsidRDefault="00000000">
      <w:pPr>
        <w:shd w:val="clear" w:color="auto" w:fill="FFFFFF"/>
        <w:spacing w:line="276" w:lineRule="auto"/>
        <w:ind w:right="-142"/>
        <w:rPr>
          <w:rFonts w:ascii="Albert Sans" w:eastAsia="Albert Sans" w:hAnsi="Albert Sans" w:cs="Albert Sans"/>
          <w:color w:val="000000"/>
          <w:sz w:val="21"/>
          <w:szCs w:val="21"/>
        </w:rPr>
      </w:pPr>
      <w:r>
        <w:rPr>
          <w:rFonts w:ascii="Albert Sans" w:eastAsia="Albert Sans" w:hAnsi="Albert Sans" w:cs="Albert Sans"/>
          <w:sz w:val="26"/>
          <w:szCs w:val="26"/>
        </w:rPr>
        <w:t>620 66 29 26</w:t>
      </w:r>
    </w:p>
    <w:sectPr w:rsidR="007E411E">
      <w:headerReference w:type="default" r:id="rId26"/>
      <w:footerReference w:type="default" r:id="rId27"/>
      <w:pgSz w:w="11900" w:h="16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5D549" w14:textId="77777777" w:rsidR="001740E3" w:rsidRDefault="001740E3">
      <w:r>
        <w:separator/>
      </w:r>
    </w:p>
  </w:endnote>
  <w:endnote w:type="continuationSeparator" w:id="0">
    <w:p w14:paraId="32AD13C2" w14:textId="77777777" w:rsidR="001740E3" w:rsidRDefault="001740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4AE5B4C0-4E3E-46D9-95CD-39F26AEED50C}"/>
    <w:embedBold r:id="rId2" w:fontKey="{FB4466C9-8269-4596-9C21-62BF8EB420E1}"/>
  </w:font>
  <w:font w:name="Georgia">
    <w:panose1 w:val="02040502050405020303"/>
    <w:charset w:val="00"/>
    <w:family w:val="roman"/>
    <w:pitch w:val="variable"/>
    <w:sig w:usb0="00000287" w:usb1="00000000" w:usb2="00000000" w:usb3="00000000" w:csb0="0000009F" w:csb1="00000000"/>
    <w:embedItalic r:id="rId3" w:fontKey="{42C8A4AB-E961-4ED5-A7C9-64AF0EA48603}"/>
  </w:font>
  <w:font w:name="Albert Sans SemiBold">
    <w:altName w:val="Calibri"/>
    <w:charset w:val="00"/>
    <w:family w:val="auto"/>
    <w:pitch w:val="default"/>
    <w:embedRegular r:id="rId4" w:fontKey="{9BB96A1C-2700-4BBD-85E3-C0056092A97C}"/>
  </w:font>
  <w:font w:name="Albert Sans">
    <w:altName w:val="Calibri"/>
    <w:charset w:val="00"/>
    <w:family w:val="auto"/>
    <w:pitch w:val="default"/>
    <w:embedRegular r:id="rId5" w:fontKey="{CA9392F0-9E98-4A84-97F7-29FEDBD4CB21}"/>
    <w:embedBold r:id="rId6" w:fontKey="{E4CCDCF8-2ED6-4173-8C22-2AA49EB98ADA}"/>
  </w:font>
  <w:font w:name="Open Sans">
    <w:charset w:val="00"/>
    <w:family w:val="swiss"/>
    <w:pitch w:val="variable"/>
    <w:sig w:usb0="E00002EF" w:usb1="4000205B" w:usb2="00000028" w:usb3="00000000" w:csb0="0000019F" w:csb1="00000000"/>
    <w:embedRegular r:id="rId7" w:fontKey="{F8C9CC13-1092-4E35-A878-D940CB709F43}"/>
  </w:font>
  <w:font w:name="Cambria">
    <w:panose1 w:val="02040503050406030204"/>
    <w:charset w:val="00"/>
    <w:family w:val="roman"/>
    <w:pitch w:val="variable"/>
    <w:sig w:usb0="E00006FF" w:usb1="420024FF" w:usb2="02000000" w:usb3="00000000" w:csb0="0000019F" w:csb1="00000000"/>
    <w:embedRegular r:id="rId8" w:fontKey="{88F3AD35-A067-44F0-AA9C-8005C1591CC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A" w14:textId="77777777" w:rsidR="007E411E" w:rsidRDefault="00000000">
    <w:pPr>
      <w:pBdr>
        <w:top w:val="nil"/>
        <w:left w:val="nil"/>
        <w:bottom w:val="nil"/>
        <w:right w:val="nil"/>
        <w:between w:val="nil"/>
      </w:pBdr>
      <w:tabs>
        <w:tab w:val="center" w:pos="4252"/>
        <w:tab w:val="right" w:pos="8504"/>
      </w:tabs>
      <w:rPr>
        <w:color w:val="000000"/>
      </w:rPr>
    </w:pPr>
    <w:r>
      <w:rPr>
        <w:noProof/>
      </w:rPr>
      <w:drawing>
        <wp:anchor distT="0" distB="0" distL="0" distR="0" simplePos="0" relativeHeight="251659264" behindDoc="0" locked="0" layoutInCell="1" hidden="0" allowOverlap="1" wp14:anchorId="6FF9E204" wp14:editId="6060AD49">
          <wp:simplePos x="0" y="0"/>
          <wp:positionH relativeFrom="column">
            <wp:posOffset>-1080119</wp:posOffset>
          </wp:positionH>
          <wp:positionV relativeFrom="paragraph">
            <wp:posOffset>228600</wp:posOffset>
          </wp:positionV>
          <wp:extent cx="7670550" cy="451315"/>
          <wp:effectExtent l="0" t="0" r="0" b="0"/>
          <wp:wrapSquare wrapText="bothSides" distT="0" distB="0" distL="0" distR="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l="3527" r="3527"/>
                  <a:stretch>
                    <a:fillRect/>
                  </a:stretch>
                </pic:blipFill>
                <pic:spPr>
                  <a:xfrm>
                    <a:off x="0" y="0"/>
                    <a:ext cx="7670550" cy="45131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8BCD2" w14:textId="77777777" w:rsidR="001740E3" w:rsidRDefault="001740E3">
      <w:r>
        <w:separator/>
      </w:r>
    </w:p>
  </w:footnote>
  <w:footnote w:type="continuationSeparator" w:id="0">
    <w:p w14:paraId="1D9ABFDA" w14:textId="77777777" w:rsidR="001740E3" w:rsidRDefault="001740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8" w14:textId="77777777" w:rsidR="007E411E" w:rsidRDefault="00000000">
    <w:pPr>
      <w:pBdr>
        <w:top w:val="nil"/>
        <w:left w:val="nil"/>
        <w:bottom w:val="nil"/>
        <w:right w:val="nil"/>
        <w:between w:val="nil"/>
      </w:pBdr>
      <w:tabs>
        <w:tab w:val="center" w:pos="4252"/>
        <w:tab w:val="right" w:pos="8504"/>
      </w:tabs>
      <w:rPr>
        <w:color w:val="000000"/>
      </w:rPr>
    </w:pPr>
    <w:r>
      <w:rPr>
        <w:noProof/>
      </w:rPr>
      <w:drawing>
        <wp:anchor distT="0" distB="0" distL="0" distR="0" simplePos="0" relativeHeight="251658240" behindDoc="0" locked="0" layoutInCell="1" hidden="0" allowOverlap="1" wp14:anchorId="5A1E08D1" wp14:editId="4D45206D">
          <wp:simplePos x="0" y="0"/>
          <wp:positionH relativeFrom="column">
            <wp:posOffset>-1080125</wp:posOffset>
          </wp:positionH>
          <wp:positionV relativeFrom="paragraph">
            <wp:posOffset>-215253</wp:posOffset>
          </wp:positionV>
          <wp:extent cx="7711147" cy="1037167"/>
          <wp:effectExtent l="0" t="0" r="0" b="0"/>
          <wp:wrapSquare wrapText="bothSides" distT="0" distB="0" distL="0" distR="0"/>
          <wp:docPr id="1" name="image1.png" descr="Patrón de fond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1.png" descr="Patrón de fondo&#10;&#10;El contenido generado por IA puede ser incorrecto."/>
                  <pic:cNvPicPr preferRelativeResize="0"/>
                </pic:nvPicPr>
                <pic:blipFill>
                  <a:blip r:embed="rId1"/>
                  <a:srcRect t="3469" b="3469"/>
                  <a:stretch>
                    <a:fillRect/>
                  </a:stretch>
                </pic:blipFill>
                <pic:spPr>
                  <a:xfrm>
                    <a:off x="0" y="0"/>
                    <a:ext cx="7711147" cy="1037167"/>
                  </a:xfrm>
                  <a:prstGeom prst="rect">
                    <a:avLst/>
                  </a:prstGeom>
                  <a:ln/>
                </pic:spPr>
              </pic:pic>
            </a:graphicData>
          </a:graphic>
        </wp:anchor>
      </w:drawing>
    </w:r>
  </w:p>
  <w:p w14:paraId="00000039" w14:textId="77777777" w:rsidR="007E411E" w:rsidRDefault="007E411E">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0C3855"/>
    <w:multiLevelType w:val="multilevel"/>
    <w:tmpl w:val="A8C6238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16cid:durableId="559368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411E"/>
    <w:rsid w:val="00065464"/>
    <w:rsid w:val="001740E3"/>
    <w:rsid w:val="003C3FDA"/>
    <w:rsid w:val="00755A62"/>
    <w:rsid w:val="007E411E"/>
    <w:rsid w:val="00827B9B"/>
    <w:rsid w:val="00870EB7"/>
    <w:rsid w:val="008E31DE"/>
    <w:rsid w:val="00D9118E"/>
    <w:rsid w:val="00F958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EFDF4"/>
  <w15:docId w15:val="{68E749DB-3D85-4D11-A48A-9E4BFA175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8E31DE"/>
    <w:rPr>
      <w:color w:val="0000FF" w:themeColor="hyperlink"/>
      <w:u w:val="single"/>
    </w:rPr>
  </w:style>
  <w:style w:type="character" w:styleId="UnresolvedMention">
    <w:name w:val="Unresolved Mention"/>
    <w:basedOn w:val="DefaultParagraphFont"/>
    <w:uiPriority w:val="99"/>
    <w:semiHidden/>
    <w:unhideWhenUsed/>
    <w:rsid w:val="008E31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36360.pcdn.co/wp-content/uploads/2026/09/Experiencia-en-alquiler-en-2026.pdf" TargetMode="External"/><Relationship Id="rId13" Type="http://schemas.openxmlformats.org/officeDocument/2006/relationships/image" Target="media/image2.png"/><Relationship Id="rId18" Type="http://schemas.openxmlformats.org/officeDocument/2006/relationships/hyperlink" Target="https://www.fotocasa.es"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datavenues.com/" TargetMode="Externa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http://prensa.fotocasa.es" TargetMode="External"/><Relationship Id="rId25" Type="http://schemas.openxmlformats.org/officeDocument/2006/relationships/hyperlink" Target="mailto:comunicacion@fotocasa.es" TargetMode="External"/><Relationship Id="rId2" Type="http://schemas.openxmlformats.org/officeDocument/2006/relationships/numbering" Target="numbering.xml"/><Relationship Id="rId16" Type="http://schemas.openxmlformats.org/officeDocument/2006/relationships/hyperlink" Target="https://www.research.fotocasa.es" TargetMode="External"/><Relationship Id="rId20" Type="http://schemas.openxmlformats.org/officeDocument/2006/relationships/hyperlink" Target="https://profesionales.fotocasa.e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otocasa.es/es/" TargetMode="External"/><Relationship Id="rId24" Type="http://schemas.openxmlformats.org/officeDocument/2006/relationships/hyperlink" Target="https://www.immobilienscout24.de/" TargetMode="External"/><Relationship Id="rId5" Type="http://schemas.openxmlformats.org/officeDocument/2006/relationships/webSettings" Target="webSettings.xml"/><Relationship Id="rId15" Type="http://schemas.openxmlformats.org/officeDocument/2006/relationships/hyperlink" Target="https://www.fotocasa.es/indice/" TargetMode="External"/><Relationship Id="rId23" Type="http://schemas.openxmlformats.org/officeDocument/2006/relationships/hyperlink" Target="https://www.inmoweb.es/" TargetMode="External"/><Relationship Id="rId28" Type="http://schemas.openxmlformats.org/officeDocument/2006/relationships/fontTable" Target="fontTable.xml"/><Relationship Id="rId10" Type="http://schemas.openxmlformats.org/officeDocument/2006/relationships/hyperlink" Target="https://research.fotocasa.es/" TargetMode="External"/><Relationship Id="rId19" Type="http://schemas.openxmlformats.org/officeDocument/2006/relationships/hyperlink" Target="https://www.habitaclia.com/" TargetMode="External"/><Relationship Id="rId4" Type="http://schemas.openxmlformats.org/officeDocument/2006/relationships/settings" Target="settings.xml"/><Relationship Id="rId9" Type="http://schemas.openxmlformats.org/officeDocument/2006/relationships/hyperlink" Target="https://research.fotocasa.es/" TargetMode="External"/><Relationship Id="rId14" Type="http://schemas.openxmlformats.org/officeDocument/2006/relationships/image" Target="media/image3.png"/><Relationship Id="rId22" Type="http://schemas.openxmlformats.org/officeDocument/2006/relationships/hyperlink" Target="https://get.witei.com/en/" TargetMode="External"/><Relationship Id="rId27"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o1McvB8nwe5hTtYwD6Tw0ZVecg==">CgMxLjAaJwoBMBIiCiAIBCocCgtBQUFDQkpVcmoxMBAIGgtBQUFDQkpVcmoxMCKPAgoLQUFBQ0JKVXJqMTAS3wEKC0FBQUNCSlVyajEwEgtBQUFDQkpVcmoxMBoZCgl0ZXh0L2h0bWwSDEHDsWFkaXIgbGluayIaCgp0ZXh0L3BsYWluEgxBw7FhZGlyIGxpbmsqGyIVMTA4OTQ0OTEzNDI3ODg1NjUxNzc0KAA4ADDBjfvQ9jM4wY370PYzSjMKCnRleHQvcGxhaW4SJeKAnEV4cGVyaWVuY2lhIGVuIGFscXVpbGVyIGVuIDIwMjbigJ1aDGEzZHc0d2g1OWZ1MnICIAB4AJoBBggAEAAYAKoBDhIMQcOxYWRpciBsaW5rGMGN+9D2MyDBjfvQ9jNCEGtpeC4zbTR4dXh5MXg4dDQyDmguNGMxZWFoMnNxMjRhOAByITFSOERzT1N3R1J0MEpfTFBDbjhiSGRfWF9CTU5tWUgwa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5</Pages>
  <Words>1239</Words>
  <Characters>7067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Anais Garcia Lopez</cp:lastModifiedBy>
  <cp:revision>5</cp:revision>
  <dcterms:created xsi:type="dcterms:W3CDTF">2026-07-17T22:43:00Z</dcterms:created>
  <dcterms:modified xsi:type="dcterms:W3CDTF">2026-07-23T11:47:00Z</dcterms:modified>
</cp:coreProperties>
</file>